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仿宋" w:hAnsi="仿宋" w:eastAsia="仿宋"/>
          <w:b/>
          <w:sz w:val="48"/>
          <w:szCs w:val="48"/>
          <w:lang w:val="en-US"/>
        </w:rPr>
      </w:pPr>
      <w:r>
        <w:rPr>
          <w:rFonts w:hint="eastAsia" w:ascii="仿宋_GB2312" w:hAnsi="仿宋" w:eastAsia="仿宋_GB2312" w:cs="仿宋"/>
          <w:color w:val="000000"/>
          <w:kern w:val="0"/>
          <w:sz w:val="40"/>
          <w:szCs w:val="40"/>
          <w:lang w:val="en-US" w:eastAsia="zh-CN" w:bidi="ar"/>
        </w:rPr>
        <w:t>南山区医疗集团总部敏感数据管理系统项目需求</w:t>
      </w:r>
    </w:p>
    <w:p>
      <w:pPr>
        <w:spacing w:after="0" w:line="360" w:lineRule="auto"/>
        <w:jc w:val="right"/>
        <w:rPr>
          <w:rFonts w:ascii="仿宋" w:hAnsi="仿宋" w:eastAsia="仿宋"/>
          <w:b/>
          <w:sz w:val="36"/>
          <w:szCs w:val="36"/>
        </w:rPr>
      </w:pPr>
    </w:p>
    <w:p>
      <w:pPr>
        <w:pStyle w:val="2"/>
        <w:numPr>
          <w:ilvl w:val="0"/>
          <w:numId w:val="3"/>
        </w:numPr>
        <w:spacing w:before="0" w:after="0" w:line="360" w:lineRule="auto"/>
        <w:rPr>
          <w:rFonts w:ascii="仿宋" w:hAnsi="仿宋" w:eastAsia="仿宋"/>
          <w:b/>
          <w:bCs/>
        </w:rPr>
      </w:pPr>
      <w:r>
        <w:rPr>
          <w:rFonts w:hint="eastAsia" w:ascii="仿宋" w:hAnsi="仿宋" w:eastAsia="仿宋"/>
          <w:b/>
          <w:bCs/>
        </w:rPr>
        <w:t>建设背景</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随着国家《个人信息保护法》、《数据安全法》等数据安全相关法律条令以及《深圳市公共数据安全要求》等规范实施，医疗行业重要敏感数据资产数量繁多、复杂多样，医疗监管机构需要确保其数据的安全和合规性，及时发现数据安全风险，结合南山医疗集团</w:t>
      </w:r>
      <w:r>
        <w:rPr>
          <w:rFonts w:hint="eastAsia" w:ascii="仿宋" w:hAnsi="仿宋" w:eastAsia="仿宋"/>
          <w:sz w:val="28"/>
          <w:szCs w:val="28"/>
          <w:lang w:val="en-US" w:eastAsia="zh-CN"/>
        </w:rPr>
        <w:t>总部</w:t>
      </w:r>
      <w:r>
        <w:rPr>
          <w:rFonts w:hint="eastAsia" w:ascii="仿宋" w:hAnsi="仿宋" w:eastAsia="仿宋"/>
          <w:sz w:val="28"/>
          <w:szCs w:val="28"/>
        </w:rPr>
        <w:t>数据安全建设规划，</w:t>
      </w:r>
      <w:r>
        <w:rPr>
          <w:rFonts w:hint="eastAsia" w:ascii="仿宋" w:hAnsi="仿宋" w:eastAsia="仿宋"/>
          <w:sz w:val="28"/>
          <w:szCs w:val="28"/>
          <w:lang w:val="en-US" w:eastAsia="zh-CN"/>
        </w:rPr>
        <w:t>拟建设敏感数据管理系统，主要功能包含</w:t>
      </w:r>
      <w:r>
        <w:rPr>
          <w:rFonts w:hint="eastAsia" w:ascii="仿宋" w:hAnsi="仿宋" w:eastAsia="仿宋"/>
          <w:sz w:val="28"/>
          <w:szCs w:val="28"/>
        </w:rPr>
        <w:t>对敏感数据资产管理发现、数据分类分级、风险评估等</w:t>
      </w:r>
      <w:r>
        <w:rPr>
          <w:rFonts w:hint="eastAsia" w:ascii="仿宋" w:hAnsi="仿宋" w:eastAsia="仿宋"/>
          <w:sz w:val="28"/>
          <w:szCs w:val="28"/>
          <w:lang w:val="en-US" w:eastAsia="zh-CN"/>
        </w:rPr>
        <w:t>功能</w:t>
      </w:r>
      <w:r>
        <w:rPr>
          <w:rFonts w:hint="eastAsia" w:ascii="仿宋" w:hAnsi="仿宋" w:eastAsia="仿宋"/>
          <w:sz w:val="28"/>
          <w:szCs w:val="28"/>
        </w:rPr>
        <w:t>，同时通过建设企业微信安全网关，提供基于企业微信访问下的终端数据安全加固，包括敏感信息过滤、水印和反入侵能力，帮助医疗集团解决合规应对、敏感数据排查数据安全风险检测等</w:t>
      </w:r>
      <w:bookmarkStart w:id="4" w:name="_GoBack"/>
      <w:r>
        <w:rPr>
          <w:rFonts w:hint="eastAsia" w:ascii="仿宋" w:hAnsi="仿宋" w:eastAsia="仿宋"/>
          <w:sz w:val="28"/>
          <w:szCs w:val="28"/>
        </w:rPr>
        <w:t>多方面的数据安全问题，及时定位数据安全风险，提高数据安全保障能力。</w:t>
      </w:r>
    </w:p>
    <w:bookmarkEnd w:id="4"/>
    <w:p>
      <w:pPr>
        <w:spacing w:after="0" w:line="360" w:lineRule="auto"/>
        <w:rPr>
          <w:rFonts w:ascii="仿宋" w:hAnsi="仿宋" w:eastAsia="仿宋"/>
          <w:sz w:val="28"/>
          <w:szCs w:val="28"/>
        </w:rPr>
      </w:pPr>
    </w:p>
    <w:p>
      <w:pPr>
        <w:pStyle w:val="2"/>
        <w:numPr>
          <w:ilvl w:val="0"/>
          <w:numId w:val="3"/>
        </w:numPr>
        <w:spacing w:before="0" w:after="0" w:line="360" w:lineRule="auto"/>
        <w:rPr>
          <w:rFonts w:ascii="仿宋" w:hAnsi="仿宋" w:eastAsia="仿宋"/>
          <w:b/>
          <w:bCs/>
        </w:rPr>
      </w:pPr>
      <w:r>
        <w:rPr>
          <w:rFonts w:hint="eastAsia" w:ascii="仿宋" w:hAnsi="仿宋" w:eastAsia="仿宋"/>
          <w:b/>
          <w:bCs/>
        </w:rPr>
        <w:t>建设依据</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建设依据以国家发布的相关通知和标准规范为主，包括但不限于：</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《信息安全等级保护管理办法》</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《中华人民共和国数据安全法》</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《中华人民共和国网络安全法》</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《健康医疗数据安全指南》</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《医院信息互联互通标准化成熟度测评方案（2</w:t>
      </w:r>
      <w:r>
        <w:rPr>
          <w:rFonts w:ascii="仿宋" w:hAnsi="仿宋" w:eastAsia="仿宋"/>
          <w:sz w:val="28"/>
          <w:szCs w:val="28"/>
        </w:rPr>
        <w:t>020</w:t>
      </w:r>
      <w:r>
        <w:rPr>
          <w:rFonts w:hint="eastAsia" w:ascii="仿宋" w:hAnsi="仿宋" w:eastAsia="仿宋"/>
          <w:sz w:val="28"/>
          <w:szCs w:val="28"/>
        </w:rPr>
        <w:t>年版）》</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《信息技术软件生存周期过程》GB/T8566-2007</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《计算机软件文档编制规范》GB/T8567-2006</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《信息技术软件工程术语》GB/T11457-2006</w:t>
      </w:r>
    </w:p>
    <w:p>
      <w:pPr>
        <w:widowControl w:val="0"/>
        <w:numPr>
          <w:ilvl w:val="0"/>
          <w:numId w:val="4"/>
        </w:numPr>
        <w:spacing w:after="0" w:line="360" w:lineRule="auto"/>
        <w:jc w:val="left"/>
        <w:rPr>
          <w:rFonts w:ascii="仿宋" w:hAnsi="仿宋" w:eastAsia="仿宋"/>
          <w:sz w:val="28"/>
          <w:szCs w:val="28"/>
        </w:rPr>
      </w:pPr>
      <w:r>
        <w:rPr>
          <w:rFonts w:hint="eastAsia" w:ascii="仿宋" w:hAnsi="仿宋" w:eastAsia="仿宋"/>
          <w:sz w:val="28"/>
          <w:szCs w:val="28"/>
        </w:rPr>
        <w:t>《信息技术系统及软件完整性级别》GB/T18492-2001</w:t>
      </w:r>
    </w:p>
    <w:p>
      <w:pPr>
        <w:spacing w:after="0" w:line="360" w:lineRule="auto"/>
        <w:rPr>
          <w:rFonts w:ascii="仿宋" w:hAnsi="仿宋" w:eastAsia="仿宋"/>
          <w:sz w:val="28"/>
          <w:szCs w:val="28"/>
        </w:rPr>
      </w:pPr>
    </w:p>
    <w:p>
      <w:pPr>
        <w:pStyle w:val="2"/>
        <w:numPr>
          <w:ilvl w:val="0"/>
          <w:numId w:val="3"/>
        </w:numPr>
        <w:spacing w:before="0" w:after="0" w:line="360" w:lineRule="auto"/>
        <w:rPr>
          <w:rFonts w:ascii="仿宋" w:hAnsi="仿宋" w:eastAsia="仿宋"/>
          <w:b/>
          <w:bCs/>
        </w:rPr>
      </w:pPr>
      <w:r>
        <w:rPr>
          <w:rFonts w:hint="eastAsia" w:ascii="仿宋" w:hAnsi="仿宋" w:eastAsia="仿宋"/>
          <w:b/>
          <w:bCs/>
        </w:rPr>
        <w:t>需求分析</w:t>
      </w:r>
    </w:p>
    <w:p>
      <w:pPr>
        <w:pStyle w:val="33"/>
        <w:spacing w:before="0" w:beforeLines="0" w:after="0" w:afterLines="0" w:line="360" w:lineRule="auto"/>
        <w:ind w:left="420"/>
        <w:rPr>
          <w:rFonts w:ascii="仿宋" w:hAnsi="仿宋" w:eastAsia="仿宋"/>
          <w:b/>
          <w:bCs/>
        </w:rPr>
      </w:pPr>
      <w:r>
        <w:rPr>
          <w:rFonts w:ascii="仿宋" w:hAnsi="仿宋" w:eastAsia="仿宋"/>
          <w:b/>
          <w:bCs/>
        </w:rPr>
        <w:t>1</w:t>
      </w:r>
      <w:r>
        <w:rPr>
          <w:rFonts w:hint="eastAsia" w:ascii="仿宋" w:hAnsi="仿宋" w:eastAsia="仿宋"/>
          <w:b/>
          <w:bCs/>
        </w:rPr>
        <w:t>.数据操作风险难以控制</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运维人员、第三方人员，由于拥有数据库的用户权限，导致通过内部环境对数据库的越权访问，敏感数据访问、导出数据、在线数据沉淀、数据删除等，造成通过内部的敏感数据泄露的安全风险。</w:t>
      </w:r>
    </w:p>
    <w:p>
      <w:pPr>
        <w:pStyle w:val="33"/>
        <w:spacing w:before="0" w:beforeLines="0" w:after="0" w:afterLines="0" w:line="360" w:lineRule="auto"/>
        <w:ind w:left="420"/>
        <w:rPr>
          <w:rFonts w:ascii="仿宋" w:hAnsi="仿宋" w:eastAsia="仿宋"/>
          <w:b/>
          <w:bCs/>
        </w:rPr>
      </w:pPr>
      <w:r>
        <w:rPr>
          <w:rFonts w:ascii="仿宋" w:hAnsi="仿宋" w:eastAsia="仿宋"/>
          <w:b/>
          <w:bCs/>
        </w:rPr>
        <w:t>2</w:t>
      </w:r>
      <w:r>
        <w:rPr>
          <w:rFonts w:hint="eastAsia" w:ascii="仿宋" w:hAnsi="仿宋" w:eastAsia="仿宋"/>
          <w:b/>
          <w:bCs/>
        </w:rPr>
        <w:t>.数据丢失难以追溯，无法定责</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由于可以接触的数据的人员比较多，而且操作数据库的人员技术水平不一，当各类人员对数据库进行操作时，他们对数据库的操作行为无法可视化的展示，而有些操作可能会导致数据修改，或者删除，发生这种事后，无法进行追溯，也无法定则。</w:t>
      </w:r>
    </w:p>
    <w:p>
      <w:pPr>
        <w:pStyle w:val="33"/>
        <w:spacing w:before="0" w:beforeLines="0" w:after="0" w:afterLines="0" w:line="360" w:lineRule="auto"/>
        <w:ind w:left="420"/>
        <w:rPr>
          <w:rFonts w:ascii="仿宋" w:hAnsi="仿宋" w:eastAsia="仿宋"/>
          <w:b/>
          <w:bCs/>
        </w:rPr>
      </w:pPr>
      <w:r>
        <w:rPr>
          <w:rFonts w:ascii="仿宋" w:hAnsi="仿宋" w:eastAsia="仿宋"/>
          <w:b/>
          <w:bCs/>
        </w:rPr>
        <w:t>3</w:t>
      </w:r>
      <w:r>
        <w:rPr>
          <w:rFonts w:hint="eastAsia" w:ascii="仿宋" w:hAnsi="仿宋" w:eastAsia="仿宋"/>
          <w:b/>
          <w:bCs/>
        </w:rPr>
        <w:t>.缺乏数据安全监测和管理能力</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参考《大数据安全管理指南》（征求意见稿）《GB/T35274大数据服务安全能力要求》《GB/T22239信息安全技术网络安全等级保护基本要求》等数据安全管理要求，对数据进行全生命周期的安全监测监管。</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随着医院应用系统不断增多，数据库以及数据库中的数据不断集中、不断增长，在数据集中之后的大数据量的数据场景下，如何快速定位保护对象，掌握敏感数据分布，清晰了解保护对象数据如何被处理和流转，如何感知当前数据存在的风险，以及及时响应防护，需要一套数据安全管控平台实现保护对象的精确定位、动态流转监控、风险实施监测、数据安全集中管理、策略下发、联动防护。</w:t>
      </w:r>
    </w:p>
    <w:p>
      <w:pPr>
        <w:pStyle w:val="33"/>
        <w:spacing w:before="0" w:beforeLines="0" w:after="0" w:afterLines="0" w:line="360" w:lineRule="auto"/>
        <w:ind w:left="420"/>
        <w:rPr>
          <w:rFonts w:ascii="仿宋" w:hAnsi="仿宋" w:eastAsia="仿宋"/>
          <w:b/>
          <w:bCs/>
        </w:rPr>
      </w:pPr>
      <w:r>
        <w:rPr>
          <w:rFonts w:ascii="仿宋" w:hAnsi="仿宋" w:eastAsia="仿宋"/>
          <w:b/>
          <w:bCs/>
        </w:rPr>
        <w:t>4</w:t>
      </w:r>
      <w:r>
        <w:rPr>
          <w:rFonts w:hint="eastAsia" w:ascii="仿宋" w:hAnsi="仿宋" w:eastAsia="仿宋"/>
          <w:b/>
          <w:bCs/>
        </w:rPr>
        <w:t>.企微端接入人员终端，终端数据安全风险高</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当前面向全院职工和第三方人员在企业微信下的访问缺乏有效的安全管控手段，人员可通过互联网访问企微工作台业务从而触达集团内网系统，存在终端数据泄露和攻击风险。且传统的V</w:t>
      </w:r>
      <w:r>
        <w:rPr>
          <w:rFonts w:ascii="仿宋" w:hAnsi="仿宋" w:eastAsia="仿宋"/>
          <w:sz w:val="28"/>
          <w:szCs w:val="28"/>
        </w:rPr>
        <w:t>PN</w:t>
      </w:r>
      <w:r>
        <w:rPr>
          <w:rFonts w:hint="eastAsia" w:ascii="仿宋" w:hAnsi="仿宋" w:eastAsia="仿宋"/>
          <w:sz w:val="28"/>
          <w:szCs w:val="28"/>
        </w:rPr>
        <w:t>登录方式很难满足企微场景下的数据安全管控需求，运维管理工作量大。</w:t>
      </w:r>
    </w:p>
    <w:p>
      <w:pPr>
        <w:rPr>
          <w:rFonts w:hint="eastAsia" w:ascii="仿宋" w:hAnsi="仿宋" w:eastAsia="仿宋"/>
          <w:sz w:val="28"/>
          <w:szCs w:val="28"/>
        </w:rPr>
      </w:pPr>
      <w:r>
        <w:rPr>
          <w:rFonts w:ascii="仿宋" w:hAnsi="仿宋" w:eastAsia="仿宋"/>
          <w:sz w:val="28"/>
          <w:szCs w:val="28"/>
        </w:rPr>
        <w:br w:type="page"/>
      </w:r>
    </w:p>
    <w:p>
      <w:pPr>
        <w:pStyle w:val="2"/>
        <w:numPr>
          <w:ilvl w:val="0"/>
          <w:numId w:val="3"/>
        </w:numPr>
        <w:spacing w:before="0" w:after="0" w:line="360" w:lineRule="auto"/>
        <w:rPr>
          <w:rFonts w:ascii="仿宋" w:hAnsi="仿宋" w:eastAsia="仿宋"/>
          <w:b/>
          <w:bCs/>
        </w:rPr>
      </w:pPr>
      <w:r>
        <w:rPr>
          <w:rFonts w:hint="eastAsia" w:ascii="仿宋" w:hAnsi="仿宋" w:eastAsia="仿宋"/>
          <w:b/>
          <w:bCs/>
        </w:rPr>
        <w:t>分阶段建设规划</w:t>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围绕南山医疗集团数据安全建设现状和需求，拟分三期进行数据安全建设，最终实现集团数据安全的可观可控。数据安全三期建设如图所示：</w:t>
      </w:r>
    </w:p>
    <w:p>
      <w:pPr>
        <w:spacing w:after="0" w:line="360" w:lineRule="auto"/>
        <w:rPr>
          <w:rFonts w:hint="eastAsia" w:ascii="仿宋" w:hAnsi="仿宋" w:eastAsia="仿宋"/>
          <w:sz w:val="28"/>
          <w:szCs w:val="28"/>
        </w:rPr>
      </w:pPr>
      <w:r>
        <w:rPr>
          <w:rFonts w:ascii="仿宋" w:hAnsi="仿宋" w:eastAsia="仿宋"/>
          <w:sz w:val="28"/>
          <w:szCs w:val="28"/>
        </w:rPr>
        <w:drawing>
          <wp:inline distT="0" distB="0" distL="0" distR="0">
            <wp:extent cx="5600700" cy="2676525"/>
            <wp:effectExtent l="0" t="0" r="0" b="3175"/>
            <wp:docPr id="130565877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58776" name="图片 1" descr="图示&#10;&#10;描述已自动生成"/>
                    <pic:cNvPicPr>
                      <a:picLocks noChangeAspect="1"/>
                    </pic:cNvPicPr>
                  </pic:nvPicPr>
                  <pic:blipFill>
                    <a:blip r:embed="rId7"/>
                    <a:stretch>
                      <a:fillRect/>
                    </a:stretch>
                  </pic:blipFill>
                  <pic:spPr>
                    <a:xfrm>
                      <a:off x="0" y="0"/>
                      <a:ext cx="5600700" cy="2676525"/>
                    </a:xfrm>
                    <a:prstGeom prst="rect">
                      <a:avLst/>
                    </a:prstGeom>
                  </pic:spPr>
                </pic:pic>
              </a:graphicData>
            </a:graphic>
          </wp:inline>
        </w:drawing>
      </w:r>
    </w:p>
    <w:p>
      <w:pPr>
        <w:spacing w:after="0" w:line="360" w:lineRule="auto"/>
        <w:ind w:firstLine="560" w:firstLineChars="200"/>
        <w:rPr>
          <w:rFonts w:ascii="仿宋" w:hAnsi="仿宋" w:eastAsia="仿宋"/>
          <w:sz w:val="28"/>
          <w:szCs w:val="28"/>
        </w:rPr>
      </w:pPr>
      <w:r>
        <w:rPr>
          <w:rFonts w:hint="eastAsia" w:ascii="仿宋" w:hAnsi="仿宋" w:eastAsia="仿宋"/>
          <w:sz w:val="28"/>
          <w:szCs w:val="28"/>
        </w:rPr>
        <w:t>在第一期建设中，重点落地数据安全中心（数据安全大脑）、A</w:t>
      </w:r>
      <w:r>
        <w:rPr>
          <w:rFonts w:ascii="仿宋" w:hAnsi="仿宋" w:eastAsia="仿宋"/>
          <w:sz w:val="28"/>
          <w:szCs w:val="28"/>
        </w:rPr>
        <w:t>PI</w:t>
      </w:r>
      <w:r>
        <w:rPr>
          <w:rFonts w:hint="eastAsia" w:ascii="仿宋" w:hAnsi="仿宋" w:eastAsia="仿宋"/>
          <w:sz w:val="28"/>
          <w:szCs w:val="28"/>
        </w:rPr>
        <w:t>风险监测预警和数据库防火墙。通过构建集团本地的数据安全大脑，建设数据安全管理系统的平台，各类数据安全风险均收集于数据安全大脑进行整体的数据安全态势分析，为集团后期细分数据安全防御奠定基础。</w:t>
      </w:r>
    </w:p>
    <w:p>
      <w:pPr>
        <w:spacing w:after="0" w:line="360" w:lineRule="auto"/>
        <w:ind w:firstLine="560" w:firstLineChars="200"/>
        <w:rPr>
          <w:rFonts w:hint="eastAsia" w:ascii="仿宋" w:hAnsi="仿宋" w:eastAsia="仿宋"/>
          <w:sz w:val="28"/>
          <w:szCs w:val="28"/>
        </w:rPr>
      </w:pPr>
      <w:r>
        <w:rPr>
          <w:rFonts w:hint="eastAsia" w:ascii="仿宋" w:hAnsi="仿宋" w:eastAsia="仿宋"/>
          <w:sz w:val="28"/>
          <w:szCs w:val="28"/>
        </w:rPr>
        <w:t>本方案为数据安全一期规划的重要组成部分，拟在建设集团数据安全大脑同时，通过联动企业微信数据安全能力，实现企业微信业务访问场景下的数据和业务访问管控，并实现集团中心和企微客户端之间的数据安全联防联控。</w:t>
      </w:r>
    </w:p>
    <w:p>
      <w:pPr>
        <w:rPr>
          <w:rFonts w:hint="eastAsia" w:ascii="仿宋" w:hAnsi="仿宋" w:eastAsia="仿宋"/>
          <w:sz w:val="28"/>
          <w:szCs w:val="28"/>
        </w:rPr>
      </w:pPr>
      <w:r>
        <w:rPr>
          <w:rFonts w:ascii="仿宋" w:hAnsi="仿宋" w:eastAsia="仿宋"/>
          <w:sz w:val="28"/>
          <w:szCs w:val="28"/>
        </w:rPr>
        <w:br w:type="page"/>
      </w:r>
    </w:p>
    <w:p>
      <w:pPr>
        <w:pStyle w:val="2"/>
        <w:numPr>
          <w:ilvl w:val="0"/>
          <w:numId w:val="3"/>
        </w:numPr>
        <w:spacing w:before="0" w:after="0" w:line="360" w:lineRule="auto"/>
        <w:rPr>
          <w:rFonts w:ascii="仿宋" w:hAnsi="仿宋" w:eastAsia="仿宋"/>
          <w:b/>
          <w:bCs/>
        </w:rPr>
      </w:pPr>
      <w:r>
        <w:rPr>
          <w:rFonts w:hint="eastAsia" w:ascii="仿宋" w:hAnsi="仿宋" w:eastAsia="仿宋"/>
          <w:b/>
          <w:bCs/>
        </w:rPr>
        <w:t>本次建设内容</w:t>
      </w:r>
    </w:p>
    <w:p>
      <w:pPr>
        <w:spacing w:after="0" w:line="360" w:lineRule="auto"/>
        <w:ind w:firstLine="420"/>
        <w:rPr>
          <w:rFonts w:ascii="仿宋" w:hAnsi="仿宋" w:eastAsia="仿宋"/>
          <w:sz w:val="28"/>
          <w:szCs w:val="28"/>
        </w:rPr>
      </w:pPr>
      <w:r>
        <w:rPr>
          <w:rFonts w:hint="eastAsia" w:ascii="仿宋" w:hAnsi="仿宋" w:eastAsia="仿宋"/>
          <w:sz w:val="28"/>
          <w:szCs w:val="28"/>
        </w:rPr>
        <w:t>依据南山医疗集团数据安全建设需求分析，本次拟从数据安全管理中心（数据安全大脑）和企业微信安全网关两个角度，分别从集团数据中心安全和企微终端数据安全方面，进行数据安全建设和加固。</w:t>
      </w:r>
    </w:p>
    <w:p>
      <w:pPr>
        <w:pStyle w:val="33"/>
        <w:spacing w:before="0" w:beforeLines="0" w:after="0" w:afterLines="0" w:line="360" w:lineRule="auto"/>
        <w:ind w:left="420"/>
        <w:rPr>
          <w:rFonts w:ascii="仿宋" w:hAnsi="仿宋" w:eastAsia="仿宋"/>
          <w:b/>
          <w:bCs/>
        </w:rPr>
      </w:pPr>
      <w:r>
        <w:rPr>
          <w:rFonts w:ascii="仿宋" w:hAnsi="仿宋" w:eastAsia="仿宋"/>
          <w:b/>
          <w:bCs/>
        </w:rPr>
        <w:t>1</w:t>
      </w:r>
      <w:r>
        <w:rPr>
          <w:rFonts w:hint="eastAsia" w:ascii="仿宋" w:hAnsi="仿宋" w:eastAsia="仿宋"/>
          <w:b/>
          <w:bCs/>
        </w:rPr>
        <w:t>.数据安全管理中心（数据安全大脑）</w:t>
      </w:r>
    </w:p>
    <w:p>
      <w:pPr>
        <w:spacing w:after="0" w:line="360" w:lineRule="auto"/>
        <w:ind w:firstLine="420"/>
        <w:jc w:val="left"/>
        <w:rPr>
          <w:rFonts w:ascii="仿宋" w:hAnsi="仿宋" w:eastAsia="仿宋"/>
          <w:sz w:val="28"/>
          <w:szCs w:val="28"/>
        </w:rPr>
      </w:pPr>
      <w:r>
        <w:rPr>
          <w:rFonts w:hint="eastAsia" w:ascii="仿宋" w:hAnsi="仿宋" w:eastAsia="仿宋"/>
          <w:sz w:val="28"/>
          <w:szCs w:val="28"/>
        </w:rPr>
        <w:t>数据安全中心</w:t>
      </w:r>
      <w:r>
        <w:rPr>
          <w:rFonts w:ascii="仿宋" w:hAnsi="仿宋" w:eastAsia="仿宋"/>
          <w:sz w:val="28"/>
          <w:szCs w:val="28"/>
        </w:rPr>
        <w:t>DGSC</w:t>
      </w:r>
      <w:r>
        <w:rPr>
          <w:rFonts w:hint="eastAsia" w:ascii="仿宋" w:hAnsi="仿宋" w:eastAsia="仿宋"/>
          <w:sz w:val="28"/>
          <w:szCs w:val="28"/>
        </w:rPr>
        <w:t>致力于为用户提供数据安全治理体系技术支撑工具，定位为一款企业级的数据安全管理平台，从企业数据安全治理、数据安全合规出发，提供数据资产管理、数据分类分级、风险评估等能力，帮助企业解决合规应对、敏感数据排查数据安全风险检测等多方面的数据安全问题，降低数据安全治理TCO，提高数据安全保障能力。</w:t>
      </w:r>
    </w:p>
    <w:p>
      <w:pPr>
        <w:spacing w:after="0" w:line="360" w:lineRule="auto"/>
        <w:ind w:firstLine="420"/>
        <w:jc w:val="left"/>
        <w:rPr>
          <w:rFonts w:ascii="仿宋" w:hAnsi="仿宋" w:eastAsia="仿宋"/>
          <w:sz w:val="28"/>
          <w:szCs w:val="28"/>
        </w:rPr>
      </w:pPr>
      <w:r>
        <w:rPr>
          <w:rFonts w:hint="eastAsia" w:ascii="仿宋" w:hAnsi="仿宋" w:eastAsia="仿宋"/>
          <w:sz w:val="28"/>
          <w:szCs w:val="28"/>
        </w:rPr>
        <w:t>下图所示为</w:t>
      </w:r>
      <w:r>
        <w:rPr>
          <w:rFonts w:ascii="仿宋" w:hAnsi="仿宋" w:eastAsia="仿宋"/>
          <w:sz w:val="28"/>
          <w:szCs w:val="28"/>
        </w:rPr>
        <w:t>DSGC</w:t>
      </w:r>
      <w:r>
        <w:rPr>
          <w:rFonts w:hint="eastAsia" w:ascii="仿宋" w:hAnsi="仿宋" w:eastAsia="仿宋"/>
          <w:sz w:val="28"/>
          <w:szCs w:val="28"/>
        </w:rPr>
        <w:t xml:space="preserve"> 产品功能架构图：</w:t>
      </w:r>
    </w:p>
    <w:p>
      <w:pPr>
        <w:spacing w:after="0" w:line="360" w:lineRule="auto"/>
        <w:jc w:val="center"/>
        <w:rPr>
          <w:rFonts w:ascii="仿宋" w:hAnsi="仿宋" w:eastAsia="仿宋"/>
          <w:sz w:val="28"/>
          <w:szCs w:val="28"/>
        </w:rPr>
      </w:pPr>
      <w:r>
        <w:rPr>
          <w:rFonts w:ascii="仿宋" w:hAnsi="仿宋" w:eastAsia="仿宋"/>
          <w:sz w:val="28"/>
          <w:szCs w:val="28"/>
        </w:rPr>
        <w:drawing>
          <wp:inline distT="0" distB="0" distL="0" distR="0">
            <wp:extent cx="5875655" cy="2655570"/>
            <wp:effectExtent l="0" t="0" r="4445" b="0"/>
            <wp:docPr id="1256431041"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31041" name="图片 1" descr="图形用户界面, 网站&#10;&#10;描述已自动生成"/>
                    <pic:cNvPicPr>
                      <a:picLocks noChangeAspect="1"/>
                    </pic:cNvPicPr>
                  </pic:nvPicPr>
                  <pic:blipFill>
                    <a:blip r:embed="rId8"/>
                    <a:stretch>
                      <a:fillRect/>
                    </a:stretch>
                  </pic:blipFill>
                  <pic:spPr>
                    <a:xfrm>
                      <a:off x="0" y="0"/>
                      <a:ext cx="5883831" cy="2659213"/>
                    </a:xfrm>
                    <a:prstGeom prst="rect">
                      <a:avLst/>
                    </a:prstGeom>
                  </pic:spPr>
                </pic:pic>
              </a:graphicData>
            </a:graphic>
          </wp:inline>
        </w:drawing>
      </w:r>
    </w:p>
    <w:p>
      <w:pPr>
        <w:pStyle w:val="4"/>
        <w:rPr>
          <w:rFonts w:ascii="仿宋" w:hAnsi="仿宋" w:eastAsia="仿宋"/>
          <w:sz w:val="28"/>
          <w:szCs w:val="28"/>
        </w:rPr>
      </w:pPr>
      <w:r>
        <w:rPr>
          <w:rFonts w:hint="eastAsia" w:ascii="仿宋" w:hAnsi="仿宋" w:eastAsia="仿宋"/>
          <w:sz w:val="28"/>
          <w:szCs w:val="28"/>
        </w:rPr>
        <w:t>资产发现</w:t>
      </w:r>
    </w:p>
    <w:p>
      <w:pPr>
        <w:spacing w:after="0" w:line="360" w:lineRule="auto"/>
        <w:ind w:firstLine="420"/>
        <w:rPr>
          <w:rFonts w:ascii="仿宋" w:hAnsi="仿宋" w:eastAsia="仿宋"/>
          <w:sz w:val="28"/>
          <w:szCs w:val="28"/>
        </w:rPr>
      </w:pPr>
      <w:r>
        <w:rPr>
          <w:rFonts w:hint="eastAsia" w:ascii="仿宋" w:hAnsi="仿宋" w:eastAsia="仿宋"/>
          <w:sz w:val="28"/>
          <w:szCs w:val="28"/>
        </w:rPr>
        <w:t>资产发现是数据安全管理的第一步。数据安全中心支持对</w:t>
      </w:r>
      <w:r>
        <w:rPr>
          <w:rFonts w:ascii="仿宋" w:hAnsi="仿宋" w:eastAsia="仿宋"/>
          <w:sz w:val="28"/>
          <w:szCs w:val="28"/>
        </w:rPr>
        <w:t xml:space="preserve">Mysql </w:t>
      </w:r>
      <w:r>
        <w:rPr>
          <w:rFonts w:hint="eastAsia" w:ascii="仿宋" w:hAnsi="仿宋" w:eastAsia="仿宋"/>
          <w:sz w:val="28"/>
          <w:szCs w:val="28"/>
        </w:rPr>
        <w:t>、</w:t>
      </w:r>
      <w:r>
        <w:rPr>
          <w:rFonts w:ascii="仿宋" w:hAnsi="仿宋" w:eastAsia="仿宋"/>
          <w:sz w:val="28"/>
          <w:szCs w:val="28"/>
        </w:rPr>
        <w:t>Oracle</w:t>
      </w:r>
      <w:r>
        <w:rPr>
          <w:rFonts w:hint="eastAsia" w:ascii="仿宋" w:hAnsi="仿宋" w:eastAsia="仿宋"/>
          <w:sz w:val="28"/>
          <w:szCs w:val="28"/>
        </w:rPr>
        <w:t>、</w:t>
      </w:r>
      <w:r>
        <w:rPr>
          <w:rFonts w:ascii="仿宋" w:hAnsi="仿宋" w:eastAsia="仿宋"/>
          <w:sz w:val="28"/>
          <w:szCs w:val="28"/>
        </w:rPr>
        <w:t>SQL Server、GaussDB</w:t>
      </w:r>
      <w:r>
        <w:rPr>
          <w:rFonts w:hint="eastAsia" w:ascii="仿宋" w:hAnsi="仿宋" w:eastAsia="仿宋"/>
          <w:sz w:val="28"/>
          <w:szCs w:val="28"/>
        </w:rPr>
        <w:t>、</w:t>
      </w:r>
      <w:r>
        <w:rPr>
          <w:rFonts w:ascii="仿宋" w:hAnsi="仿宋" w:eastAsia="仿宋"/>
          <w:sz w:val="28"/>
          <w:szCs w:val="28"/>
        </w:rPr>
        <w:t>MongoDB</w:t>
      </w:r>
      <w:r>
        <w:rPr>
          <w:rFonts w:hint="eastAsia" w:ascii="仿宋" w:hAnsi="仿宋" w:eastAsia="仿宋"/>
          <w:sz w:val="28"/>
          <w:szCs w:val="28"/>
        </w:rPr>
        <w:t>、</w:t>
      </w:r>
      <w:r>
        <w:rPr>
          <w:rFonts w:ascii="仿宋" w:hAnsi="仿宋" w:eastAsia="仿宋"/>
          <w:sz w:val="28"/>
          <w:szCs w:val="28"/>
        </w:rPr>
        <w:t>MariaDB</w:t>
      </w:r>
      <w:r>
        <w:rPr>
          <w:rFonts w:hint="eastAsia" w:ascii="仿宋" w:hAnsi="仿宋" w:eastAsia="仿宋"/>
          <w:sz w:val="28"/>
          <w:szCs w:val="28"/>
        </w:rPr>
        <w:t>、</w:t>
      </w:r>
      <w:r>
        <w:rPr>
          <w:rFonts w:ascii="仿宋" w:hAnsi="仿宋" w:eastAsia="仿宋"/>
          <w:sz w:val="28"/>
          <w:szCs w:val="28"/>
        </w:rPr>
        <w:t>PostgreSQL</w:t>
      </w:r>
      <w:r>
        <w:rPr>
          <w:rFonts w:hint="eastAsia" w:ascii="仿宋" w:hAnsi="仿宋" w:eastAsia="仿宋"/>
          <w:sz w:val="28"/>
          <w:szCs w:val="28"/>
        </w:rPr>
        <w:t>、</w:t>
      </w:r>
      <w:r>
        <w:rPr>
          <w:rFonts w:ascii="仿宋" w:hAnsi="仿宋" w:eastAsia="仿宋"/>
          <w:sz w:val="28"/>
          <w:szCs w:val="28"/>
        </w:rPr>
        <w:t>Db2</w:t>
      </w:r>
      <w:r>
        <w:rPr>
          <w:rFonts w:hint="eastAsia" w:ascii="仿宋" w:hAnsi="仿宋" w:eastAsia="仿宋"/>
          <w:sz w:val="28"/>
          <w:szCs w:val="28"/>
        </w:rPr>
        <w:t>、</w:t>
      </w:r>
      <w:r>
        <w:rPr>
          <w:rFonts w:ascii="仿宋" w:hAnsi="仿宋" w:eastAsia="仿宋"/>
          <w:sz w:val="28"/>
          <w:szCs w:val="28"/>
        </w:rPr>
        <w:t>达梦</w:t>
      </w:r>
      <w:r>
        <w:rPr>
          <w:rFonts w:hint="eastAsia" w:ascii="仿宋" w:hAnsi="仿宋" w:eastAsia="仿宋"/>
          <w:sz w:val="28"/>
          <w:szCs w:val="28"/>
        </w:rPr>
        <w:t>、</w:t>
      </w:r>
      <w:r>
        <w:rPr>
          <w:rFonts w:ascii="仿宋" w:hAnsi="仿宋" w:eastAsia="仿宋"/>
          <w:sz w:val="28"/>
          <w:szCs w:val="28"/>
        </w:rPr>
        <w:t>TiDB</w:t>
      </w:r>
      <w:r>
        <w:rPr>
          <w:rFonts w:hint="eastAsia" w:ascii="仿宋" w:hAnsi="仿宋" w:eastAsia="仿宋"/>
          <w:sz w:val="28"/>
          <w:szCs w:val="28"/>
        </w:rPr>
        <w:t>等常见数据库资产的发现及管理。D</w:t>
      </w:r>
      <w:r>
        <w:rPr>
          <w:rFonts w:ascii="仿宋" w:hAnsi="仿宋" w:eastAsia="仿宋"/>
          <w:sz w:val="28"/>
          <w:szCs w:val="28"/>
        </w:rPr>
        <w:t>SGC</w:t>
      </w:r>
      <w:r>
        <w:rPr>
          <w:rFonts w:hint="eastAsia" w:ascii="仿宋" w:hAnsi="仿宋" w:eastAsia="仿宋"/>
          <w:sz w:val="28"/>
          <w:szCs w:val="28"/>
        </w:rPr>
        <w:t>支持两种资产发现方式：</w:t>
      </w:r>
    </w:p>
    <w:p>
      <w:pPr>
        <w:pStyle w:val="29"/>
        <w:widowControl w:val="0"/>
        <w:numPr>
          <w:ilvl w:val="0"/>
          <w:numId w:val="5"/>
        </w:numPr>
        <w:spacing w:after="0" w:line="360" w:lineRule="auto"/>
        <w:contextualSpacing w:val="0"/>
        <w:rPr>
          <w:rFonts w:ascii="仿宋" w:hAnsi="仿宋" w:eastAsia="仿宋"/>
          <w:sz w:val="28"/>
          <w:szCs w:val="28"/>
        </w:rPr>
      </w:pPr>
      <w:r>
        <w:rPr>
          <w:rFonts w:hint="eastAsia" w:ascii="仿宋" w:hAnsi="仿宋" w:eastAsia="仿宋"/>
          <w:sz w:val="28"/>
          <w:szCs w:val="28"/>
        </w:rPr>
        <w:t>手动资产同步</w:t>
      </w:r>
    </w:p>
    <w:p>
      <w:pPr>
        <w:spacing w:after="0" w:line="360" w:lineRule="auto"/>
        <w:ind w:firstLine="420"/>
        <w:rPr>
          <w:rFonts w:ascii="仿宋" w:hAnsi="仿宋" w:eastAsia="仿宋"/>
          <w:sz w:val="28"/>
          <w:szCs w:val="28"/>
        </w:rPr>
      </w:pPr>
      <w:r>
        <w:rPr>
          <w:rFonts w:hint="eastAsia" w:ascii="仿宋" w:hAnsi="仿宋" w:eastAsia="仿宋"/>
          <w:sz w:val="28"/>
          <w:szCs w:val="28"/>
        </w:rPr>
        <w:t>手动资产同步支持对接现有CMDB（配置管理数据库）的资产信息，实现资产的同步录入。</w:t>
      </w:r>
    </w:p>
    <w:p>
      <w:pPr>
        <w:pStyle w:val="29"/>
        <w:widowControl w:val="0"/>
        <w:numPr>
          <w:ilvl w:val="0"/>
          <w:numId w:val="5"/>
        </w:numPr>
        <w:spacing w:after="0" w:line="360" w:lineRule="auto"/>
        <w:contextualSpacing w:val="0"/>
        <w:rPr>
          <w:rFonts w:ascii="仿宋" w:hAnsi="仿宋" w:eastAsia="仿宋"/>
          <w:sz w:val="28"/>
          <w:szCs w:val="28"/>
        </w:rPr>
      </w:pPr>
      <w:r>
        <w:rPr>
          <w:rFonts w:hint="eastAsia" w:ascii="仿宋" w:hAnsi="仿宋" w:eastAsia="仿宋"/>
          <w:sz w:val="28"/>
          <w:szCs w:val="28"/>
        </w:rPr>
        <w:t>自动发现资产</w:t>
      </w:r>
    </w:p>
    <w:p>
      <w:pPr>
        <w:spacing w:after="0" w:line="360" w:lineRule="auto"/>
        <w:ind w:firstLine="420"/>
        <w:rPr>
          <w:rFonts w:ascii="仿宋" w:hAnsi="仿宋" w:eastAsia="仿宋"/>
          <w:sz w:val="28"/>
          <w:szCs w:val="28"/>
        </w:rPr>
      </w:pPr>
      <w:r>
        <w:rPr>
          <w:rFonts w:hint="eastAsia" w:ascii="仿宋" w:hAnsi="仿宋" w:eastAsia="仿宋"/>
          <w:sz w:val="28"/>
          <w:szCs w:val="28"/>
        </w:rPr>
        <w:t>通过端口探活对目标IP地址段和端口范围进行定期或不定期的主动嗅探，发现数据资产</w:t>
      </w:r>
    </w:p>
    <w:p>
      <w:pPr>
        <w:pStyle w:val="4"/>
        <w:rPr>
          <w:rFonts w:ascii="仿宋" w:hAnsi="仿宋" w:eastAsia="仿宋"/>
          <w:sz w:val="28"/>
          <w:szCs w:val="28"/>
        </w:rPr>
      </w:pPr>
      <w:r>
        <w:rPr>
          <w:rFonts w:hint="eastAsia" w:ascii="仿宋" w:hAnsi="仿宋" w:eastAsia="仿宋"/>
          <w:sz w:val="28"/>
          <w:szCs w:val="28"/>
        </w:rPr>
        <w:t>敏感数据发现</w:t>
      </w:r>
    </w:p>
    <w:p>
      <w:pPr>
        <w:spacing w:after="0" w:line="360" w:lineRule="auto"/>
        <w:ind w:firstLine="420"/>
        <w:rPr>
          <w:rFonts w:ascii="仿宋" w:hAnsi="仿宋" w:eastAsia="仿宋"/>
          <w:sz w:val="28"/>
          <w:szCs w:val="28"/>
        </w:rPr>
      </w:pPr>
      <w:r>
        <w:rPr>
          <w:rFonts w:hint="eastAsia" w:ascii="仿宋" w:hAnsi="仿宋" w:eastAsia="仿宋"/>
          <w:sz w:val="28"/>
          <w:szCs w:val="28"/>
        </w:rPr>
        <w:t>数据安全中心DSGC敏感数据识别引擎内置丰富的分类分级模版，支持多维度数据项规则配置，基于多模态匹配、校验算法、NLP、AI等多种识别方法，能够从海量数据中快速、准确发现数据特征。</w:t>
      </w:r>
    </w:p>
    <w:p>
      <w:pPr>
        <w:pStyle w:val="29"/>
        <w:numPr>
          <w:ilvl w:val="0"/>
          <w:numId w:val="5"/>
        </w:numPr>
        <w:spacing w:after="0" w:line="360" w:lineRule="auto"/>
        <w:rPr>
          <w:rFonts w:ascii="仿宋" w:hAnsi="仿宋" w:eastAsia="仿宋"/>
          <w:sz w:val="28"/>
          <w:szCs w:val="28"/>
        </w:rPr>
      </w:pPr>
      <w:r>
        <w:rPr>
          <w:rFonts w:hint="eastAsia" w:ascii="仿宋" w:hAnsi="仿宋" w:eastAsia="仿宋"/>
          <w:sz w:val="28"/>
          <w:szCs w:val="28"/>
        </w:rPr>
        <w:t>字典匹配：通过模式匹配式（如正则表达式、关键字符等），对数据进行逐一匹配，当搜索到满足模式匹配式的片段时，定义数据为敏感数据。</w:t>
      </w:r>
    </w:p>
    <w:p>
      <w:pPr>
        <w:pStyle w:val="29"/>
        <w:numPr>
          <w:ilvl w:val="0"/>
          <w:numId w:val="5"/>
        </w:numPr>
        <w:spacing w:after="0" w:line="360" w:lineRule="auto"/>
        <w:rPr>
          <w:rFonts w:ascii="仿宋" w:hAnsi="仿宋" w:eastAsia="仿宋"/>
          <w:sz w:val="28"/>
          <w:szCs w:val="28"/>
        </w:rPr>
      </w:pPr>
      <w:r>
        <w:rPr>
          <w:rFonts w:hint="eastAsia" w:ascii="仿宋" w:hAnsi="仿宋" w:eastAsia="仿宋"/>
          <w:sz w:val="28"/>
          <w:szCs w:val="28"/>
        </w:rPr>
        <w:t>多模态匹配：基于文件名称、文件格式、文件内容等信息，通过关键字、正则表达式、自然语言处理等方法匹配标签规则。</w:t>
      </w:r>
    </w:p>
    <w:p>
      <w:pPr>
        <w:pStyle w:val="29"/>
        <w:numPr>
          <w:ilvl w:val="0"/>
          <w:numId w:val="5"/>
        </w:numPr>
        <w:spacing w:after="0" w:line="360" w:lineRule="auto"/>
        <w:rPr>
          <w:rFonts w:ascii="仿宋" w:hAnsi="仿宋" w:eastAsia="仿宋"/>
          <w:sz w:val="28"/>
          <w:szCs w:val="28"/>
        </w:rPr>
      </w:pPr>
      <w:r>
        <w:rPr>
          <w:rFonts w:ascii="仿宋" w:hAnsi="仿宋" w:eastAsia="仿宋"/>
          <w:sz w:val="28"/>
          <w:szCs w:val="28"/>
        </w:rPr>
        <w:t>AI</w:t>
      </w:r>
      <w:r>
        <w:rPr>
          <w:rFonts w:hint="eastAsia" w:ascii="仿宋" w:hAnsi="仿宋" w:eastAsia="仿宋"/>
          <w:sz w:val="28"/>
          <w:szCs w:val="28"/>
        </w:rPr>
        <w:t>语义：提取文档指纹特征，采用语义分析的技术对敏感文档和目标文档进行分词，基于不同的指标计算文本相似度，最后根据预设的相似度阈值判定目标文档是否为敏感信息文档；</w:t>
      </w:r>
    </w:p>
    <w:p>
      <w:pPr>
        <w:pStyle w:val="29"/>
        <w:numPr>
          <w:ilvl w:val="0"/>
          <w:numId w:val="5"/>
        </w:numPr>
        <w:spacing w:after="0" w:line="360" w:lineRule="auto"/>
        <w:rPr>
          <w:rFonts w:ascii="仿宋" w:hAnsi="仿宋" w:eastAsia="仿宋"/>
          <w:sz w:val="28"/>
          <w:szCs w:val="28"/>
        </w:rPr>
      </w:pPr>
      <w:r>
        <w:rPr>
          <w:rFonts w:hint="eastAsia" w:ascii="仿宋" w:hAnsi="仿宋" w:eastAsia="仿宋"/>
          <w:sz w:val="28"/>
          <w:szCs w:val="28"/>
        </w:rPr>
        <w:t>引擎底层的分层服务架构、预处理、水平扩容、并行计算、采样检测等机制，保障了高并发场景下的高吞吐和高可用。</w:t>
      </w:r>
    </w:p>
    <w:p>
      <w:pPr>
        <w:pStyle w:val="4"/>
        <w:rPr>
          <w:rFonts w:ascii="仿宋" w:hAnsi="仿宋" w:eastAsia="仿宋"/>
          <w:sz w:val="28"/>
          <w:szCs w:val="28"/>
        </w:rPr>
      </w:pPr>
      <w:r>
        <w:rPr>
          <w:rFonts w:hint="eastAsia" w:ascii="仿宋" w:hAnsi="仿宋" w:eastAsia="仿宋"/>
          <w:sz w:val="28"/>
          <w:szCs w:val="28"/>
        </w:rPr>
        <w:t>数据分级分类</w:t>
      </w:r>
    </w:p>
    <w:p>
      <w:pPr>
        <w:spacing w:after="0" w:line="360" w:lineRule="auto"/>
        <w:ind w:firstLine="420"/>
        <w:rPr>
          <w:rFonts w:ascii="仿宋" w:hAnsi="仿宋" w:eastAsia="仿宋"/>
          <w:sz w:val="28"/>
          <w:szCs w:val="28"/>
        </w:rPr>
      </w:pPr>
      <w:r>
        <w:rPr>
          <w:rFonts w:hint="eastAsia" w:ascii="仿宋" w:hAnsi="仿宋" w:eastAsia="仿宋"/>
          <w:sz w:val="28"/>
          <w:szCs w:val="28"/>
        </w:rPr>
        <w:t>数据分级分类是数据确权和访问控制的基础和依据，数据安全管理中心（数据安全大脑）支持自定义数据分级、分类标签功能，用户可根据行业标准或者自身业务场景、数据价值、数据影响、数据用途、数据来源等确定数据分级分类标准，进而形成企业专属标签库。</w:t>
      </w:r>
    </w:p>
    <w:p>
      <w:pPr>
        <w:spacing w:after="0" w:line="360" w:lineRule="auto"/>
        <w:ind w:firstLine="420"/>
        <w:rPr>
          <w:rFonts w:ascii="仿宋" w:hAnsi="仿宋" w:eastAsia="仿宋"/>
          <w:sz w:val="28"/>
          <w:szCs w:val="28"/>
        </w:rPr>
      </w:pPr>
      <w:r>
        <w:rPr>
          <w:rFonts w:hint="eastAsia" w:ascii="仿宋" w:hAnsi="仿宋" w:eastAsia="仿宋"/>
          <w:sz w:val="28"/>
          <w:szCs w:val="28"/>
        </w:rPr>
        <w:t>通过基于AI算法的智能标签功能与人工辅助相结合方式，可极大地减轻人员的低效工作、缩短数据治理周期。企业可依照数据标签属性用户可以制定精细的安全策略和数据授权机制，最终确保敏感信息的扩散范围和权限粒度。</w:t>
      </w:r>
    </w:p>
    <w:p>
      <w:pPr>
        <w:spacing w:after="0" w:line="360" w:lineRule="auto"/>
        <w:rPr>
          <w:rFonts w:ascii="仿宋" w:hAnsi="仿宋" w:eastAsia="仿宋"/>
          <w:sz w:val="28"/>
          <w:szCs w:val="28"/>
        </w:rPr>
      </w:pPr>
      <w:r>
        <w:rPr>
          <w:rFonts w:ascii="腾讯体 W3" w:hAnsi="腾讯体 W3" w:eastAsia="腾讯体 W3"/>
          <w:sz w:val="22"/>
        </w:rPr>
        <w:drawing>
          <wp:inline distT="0" distB="0" distL="0" distR="0">
            <wp:extent cx="5600700" cy="2206625"/>
            <wp:effectExtent l="0" t="0" r="0" b="3175"/>
            <wp:docPr id="1618530901"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30901" name="图片 1" descr="图片包含 表格&#10;&#10;描述已自动生成"/>
                    <pic:cNvPicPr>
                      <a:picLocks noChangeAspect="1"/>
                    </pic:cNvPicPr>
                  </pic:nvPicPr>
                  <pic:blipFill>
                    <a:blip r:embed="rId9"/>
                    <a:stretch>
                      <a:fillRect/>
                    </a:stretch>
                  </pic:blipFill>
                  <pic:spPr>
                    <a:xfrm>
                      <a:off x="0" y="0"/>
                      <a:ext cx="5600700" cy="2207073"/>
                    </a:xfrm>
                    <a:prstGeom prst="rect">
                      <a:avLst/>
                    </a:prstGeom>
                  </pic:spPr>
                </pic:pic>
              </a:graphicData>
            </a:graphic>
          </wp:inline>
        </w:drawing>
      </w:r>
    </w:p>
    <w:p>
      <w:pPr>
        <w:pStyle w:val="4"/>
        <w:rPr>
          <w:rFonts w:ascii="仿宋" w:hAnsi="仿宋" w:eastAsia="仿宋"/>
          <w:sz w:val="28"/>
          <w:szCs w:val="28"/>
        </w:rPr>
      </w:pPr>
      <w:r>
        <w:rPr>
          <w:rFonts w:hint="eastAsia" w:ascii="仿宋" w:hAnsi="仿宋" w:eastAsia="仿宋"/>
          <w:sz w:val="28"/>
          <w:szCs w:val="28"/>
        </w:rPr>
        <w:t>数据资产风险评估</w:t>
      </w:r>
    </w:p>
    <w:p>
      <w:pPr>
        <w:spacing w:after="0" w:line="360" w:lineRule="auto"/>
        <w:ind w:firstLine="420"/>
        <w:rPr>
          <w:rFonts w:ascii="仿宋" w:hAnsi="仿宋" w:eastAsia="仿宋"/>
          <w:sz w:val="28"/>
          <w:szCs w:val="28"/>
        </w:rPr>
      </w:pPr>
      <w:r>
        <w:rPr>
          <w:rFonts w:hint="eastAsia" w:ascii="仿宋" w:hAnsi="仿宋" w:eastAsia="仿宋"/>
          <w:sz w:val="28"/>
          <w:szCs w:val="28"/>
        </w:rPr>
        <w:t>基于识别引擎生成的数据资产梳理结果，风险评估引擎将围绕核心数据资产，从数据库账号权限、配置风险、脆弱性风险、泄漏风险等多角度进行数据安全风险评估，提供风险关联资产、风险级别、风险缓解建议等多维度分析结果助力数据安全风险收敛，并持续监控风险处置状态，持续推进风险治理。</w:t>
      </w:r>
    </w:p>
    <w:p>
      <w:pPr>
        <w:spacing w:after="0" w:line="360" w:lineRule="auto"/>
        <w:rPr>
          <w:rFonts w:ascii="仿宋" w:hAnsi="仿宋" w:eastAsia="仿宋"/>
          <w:sz w:val="28"/>
          <w:szCs w:val="28"/>
        </w:rPr>
      </w:pPr>
      <w:r>
        <w:rPr>
          <w:rFonts w:ascii="腾讯体 W3" w:hAnsi="腾讯体 W3" w:eastAsia="腾讯体 W3"/>
          <w:sz w:val="22"/>
        </w:rPr>
        <w:drawing>
          <wp:inline distT="0" distB="0" distL="0" distR="0">
            <wp:extent cx="5600700" cy="2415540"/>
            <wp:effectExtent l="0" t="0" r="0" b="0"/>
            <wp:docPr id="145074523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45233" name="图片 1" descr="图示&#10;&#10;描述已自动生成"/>
                    <pic:cNvPicPr>
                      <a:picLocks noChangeAspect="1"/>
                    </pic:cNvPicPr>
                  </pic:nvPicPr>
                  <pic:blipFill>
                    <a:blip r:embed="rId10"/>
                    <a:stretch>
                      <a:fillRect/>
                    </a:stretch>
                  </pic:blipFill>
                  <pic:spPr>
                    <a:xfrm>
                      <a:off x="0" y="0"/>
                      <a:ext cx="5600700" cy="2416065"/>
                    </a:xfrm>
                    <a:prstGeom prst="rect">
                      <a:avLst/>
                    </a:prstGeom>
                  </pic:spPr>
                </pic:pic>
              </a:graphicData>
            </a:graphic>
          </wp:inline>
        </w:drawing>
      </w:r>
    </w:p>
    <w:p>
      <w:pPr>
        <w:pStyle w:val="4"/>
        <w:rPr>
          <w:rFonts w:ascii="仿宋" w:hAnsi="仿宋" w:eastAsia="仿宋"/>
          <w:sz w:val="28"/>
          <w:szCs w:val="28"/>
        </w:rPr>
      </w:pPr>
      <w:r>
        <w:rPr>
          <w:rFonts w:hint="eastAsia" w:ascii="仿宋" w:hAnsi="仿宋" w:eastAsia="仿宋"/>
          <w:sz w:val="28"/>
          <w:szCs w:val="28"/>
        </w:rPr>
        <w:t>安全能力协同</w:t>
      </w:r>
    </w:p>
    <w:p>
      <w:pPr>
        <w:spacing w:after="0" w:line="360" w:lineRule="auto"/>
        <w:ind w:firstLine="420"/>
        <w:rPr>
          <w:rFonts w:ascii="仿宋" w:hAnsi="仿宋" w:eastAsia="仿宋"/>
          <w:sz w:val="28"/>
          <w:szCs w:val="28"/>
        </w:rPr>
      </w:pPr>
      <w:r>
        <w:rPr>
          <w:rFonts w:hint="eastAsia" w:ascii="仿宋" w:hAnsi="仿宋" w:eastAsia="仿宋"/>
          <w:sz w:val="28"/>
          <w:szCs w:val="28"/>
        </w:rPr>
        <w:t>数据安全中心（平台版）提供数据安全策略统一管理和运营的能力，动态监控资产分级与保护措施情况，如重要数据、敏感数据是否加密、脱敏等；实时查看资产防护状态，通过资产安全评分体现资产安全水位，支持一键开启数据审计、态势分析等。</w:t>
      </w:r>
    </w:p>
    <w:p>
      <w:pPr>
        <w:spacing w:after="0" w:line="360" w:lineRule="auto"/>
        <w:rPr>
          <w:rFonts w:ascii="仿宋" w:hAnsi="仿宋" w:eastAsia="仿宋"/>
          <w:sz w:val="28"/>
          <w:szCs w:val="28"/>
        </w:rPr>
      </w:pPr>
      <w:r>
        <w:rPr>
          <w:rFonts w:ascii="腾讯体 W3" w:hAnsi="腾讯体 W3" w:eastAsia="腾讯体 W3"/>
          <w:sz w:val="22"/>
        </w:rPr>
        <w:drawing>
          <wp:inline distT="0" distB="0" distL="0" distR="0">
            <wp:extent cx="5600700" cy="2505075"/>
            <wp:effectExtent l="0" t="0" r="0" b="0"/>
            <wp:docPr id="518344781"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44781" name="图片 1" descr="日程表&#10;&#10;描述已自动生成"/>
                    <pic:cNvPicPr>
                      <a:picLocks noChangeAspect="1"/>
                    </pic:cNvPicPr>
                  </pic:nvPicPr>
                  <pic:blipFill>
                    <a:blip r:embed="rId11"/>
                    <a:stretch>
                      <a:fillRect/>
                    </a:stretch>
                  </pic:blipFill>
                  <pic:spPr>
                    <a:xfrm>
                      <a:off x="0" y="0"/>
                      <a:ext cx="5600700" cy="2505500"/>
                    </a:xfrm>
                    <a:prstGeom prst="rect">
                      <a:avLst/>
                    </a:prstGeom>
                  </pic:spPr>
                </pic:pic>
              </a:graphicData>
            </a:graphic>
          </wp:inline>
        </w:drawing>
      </w:r>
    </w:p>
    <w:p>
      <w:pPr>
        <w:pStyle w:val="33"/>
        <w:spacing w:before="0" w:beforeLines="0" w:after="0" w:afterLines="0" w:line="360" w:lineRule="auto"/>
        <w:ind w:left="420"/>
        <w:rPr>
          <w:rFonts w:ascii="仿宋" w:hAnsi="仿宋" w:eastAsia="仿宋"/>
          <w:b/>
          <w:bCs/>
        </w:rPr>
      </w:pPr>
      <w:r>
        <w:rPr>
          <w:rFonts w:ascii="仿宋" w:hAnsi="仿宋" w:eastAsia="仿宋"/>
          <w:b/>
          <w:bCs/>
        </w:rPr>
        <w:t>2</w:t>
      </w:r>
      <w:r>
        <w:rPr>
          <w:rFonts w:hint="eastAsia" w:ascii="仿宋" w:hAnsi="仿宋" w:eastAsia="仿宋"/>
          <w:b/>
          <w:bCs/>
        </w:rPr>
        <w:t>.企业微信安全网关</w:t>
      </w:r>
    </w:p>
    <w:p>
      <w:pPr>
        <w:spacing w:after="0" w:line="360" w:lineRule="auto"/>
        <w:ind w:firstLine="420"/>
        <w:rPr>
          <w:rFonts w:ascii="仿宋" w:hAnsi="仿宋" w:eastAsia="仿宋"/>
          <w:sz w:val="28"/>
          <w:szCs w:val="28"/>
        </w:rPr>
      </w:pPr>
      <w:r>
        <w:rPr>
          <w:rFonts w:hint="eastAsia" w:ascii="仿宋" w:hAnsi="仿宋" w:eastAsia="仿宋"/>
          <w:sz w:val="28"/>
          <w:szCs w:val="28"/>
        </w:rPr>
        <w:t>作为移动办公的领先产品，企业微信当前已被大量医院选择并为医院提供从“智慧管理”到“智慧服务”再到“产业互联”的数字化能力。但便捷和安全一向是矛盾的两面，《医疗卫生机构网络安全管理办法》明确要求医院加强网络安全管理，强化信息系统自行开发或外包开发过程中的安全管理，全面落实安全保护措施。如何发挥企业微信便捷服务优势的同时，提供安全可靠地访问医院重要的业务应用，是摆在众多医院面前的首要问题，企业微信安全网关（简称“企微网关”）能够一站轻量式地解决医院在跨网访问内部应用时的安全防控问题。部署网关后，医院仅需将内网业务接入企业微信的「企微网关」组件，院内职工通过企业微信访问内网业务时，就会自动建立安全加密通道，在恶意威胁进入医院网络之前监测和阻止，有效保护医院核心业务和数据，切实解决医院在企业微信访问场景下的数据安全问题。</w:t>
      </w:r>
    </w:p>
    <w:p>
      <w:pPr>
        <w:pStyle w:val="4"/>
        <w:numPr>
          <w:ilvl w:val="2"/>
          <w:numId w:val="6"/>
        </w:numPr>
        <w:rPr>
          <w:rFonts w:ascii="仿宋" w:hAnsi="仿宋" w:eastAsia="仿宋"/>
          <w:sz w:val="28"/>
          <w:szCs w:val="28"/>
        </w:rPr>
      </w:pPr>
      <w:r>
        <w:rPr>
          <w:rFonts w:hint="eastAsia" w:ascii="仿宋" w:hAnsi="仿宋" w:eastAsia="仿宋"/>
          <w:sz w:val="28"/>
          <w:szCs w:val="28"/>
        </w:rPr>
        <w:t>敏感信息过滤</w:t>
      </w:r>
    </w:p>
    <w:p>
      <w:pPr>
        <w:spacing w:after="0" w:line="360" w:lineRule="auto"/>
        <w:ind w:firstLine="420"/>
        <w:rPr>
          <w:rFonts w:ascii="仿宋" w:hAnsi="仿宋" w:eastAsia="仿宋"/>
          <w:sz w:val="28"/>
          <w:szCs w:val="28"/>
        </w:rPr>
      </w:pPr>
      <w:r>
        <w:rPr>
          <w:rFonts w:hint="eastAsia" w:ascii="仿宋" w:hAnsi="仿宋" w:eastAsia="仿宋"/>
          <w:sz w:val="28"/>
          <w:szCs w:val="28"/>
        </w:rPr>
        <w:t>企业微信用户股访问安全网关代理的页面时，页面展示的内容会按照后台配置的敏感规则进行数据保护脱敏，以保证内部数据的安全性。默认对手机号码和身份证号码进行数据脱敏，同时支持自定义敏感词。</w:t>
      </w:r>
    </w:p>
    <w:p>
      <w:pPr>
        <w:spacing w:after="0" w:line="360" w:lineRule="auto"/>
        <w:rPr>
          <w:rFonts w:ascii="仿宋" w:hAnsi="仿宋" w:eastAsia="仿宋"/>
          <w:sz w:val="28"/>
          <w:szCs w:val="28"/>
        </w:rPr>
      </w:pPr>
      <w:r>
        <w:rPr>
          <w:rFonts w:ascii="仿宋" w:hAnsi="仿宋" w:eastAsia="仿宋"/>
          <w:sz w:val="28"/>
          <w:szCs w:val="28"/>
        </w:rPr>
        <w:drawing>
          <wp:inline distT="0" distB="0" distL="0" distR="0">
            <wp:extent cx="5687695" cy="3398520"/>
            <wp:effectExtent l="0" t="0" r="1905" b="5080"/>
            <wp:docPr id="605278442"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78442" name="图片 1" descr="图形用户界面, 文本, 应用程序, 电子邮件&#10;&#10;描述已自动生成"/>
                    <pic:cNvPicPr>
                      <a:picLocks noChangeAspect="1"/>
                    </pic:cNvPicPr>
                  </pic:nvPicPr>
                  <pic:blipFill>
                    <a:blip r:embed="rId12"/>
                    <a:stretch>
                      <a:fillRect/>
                    </a:stretch>
                  </pic:blipFill>
                  <pic:spPr>
                    <a:xfrm>
                      <a:off x="0" y="0"/>
                      <a:ext cx="5709375" cy="3411484"/>
                    </a:xfrm>
                    <a:prstGeom prst="rect">
                      <a:avLst/>
                    </a:prstGeom>
                  </pic:spPr>
                </pic:pic>
              </a:graphicData>
            </a:graphic>
          </wp:inline>
        </w:drawing>
      </w:r>
    </w:p>
    <w:p>
      <w:pPr>
        <w:pStyle w:val="4"/>
        <w:numPr>
          <w:ilvl w:val="2"/>
          <w:numId w:val="6"/>
        </w:numPr>
        <w:rPr>
          <w:rFonts w:ascii="仿宋" w:hAnsi="仿宋" w:eastAsia="仿宋"/>
          <w:sz w:val="28"/>
          <w:szCs w:val="28"/>
        </w:rPr>
      </w:pPr>
      <w:r>
        <w:rPr>
          <w:rFonts w:hint="eastAsia" w:ascii="仿宋" w:hAnsi="仿宋" w:eastAsia="仿宋"/>
          <w:sz w:val="28"/>
          <w:szCs w:val="28"/>
        </w:rPr>
        <w:t>访问水印</w:t>
      </w:r>
    </w:p>
    <w:p>
      <w:pPr>
        <w:spacing w:after="0" w:line="360" w:lineRule="auto"/>
        <w:ind w:firstLine="420"/>
        <w:rPr>
          <w:rFonts w:ascii="仿宋" w:hAnsi="仿宋" w:eastAsia="仿宋"/>
          <w:sz w:val="28"/>
          <w:szCs w:val="28"/>
        </w:rPr>
      </w:pPr>
      <w:r>
        <w:rPr>
          <w:rFonts w:hint="eastAsia" w:ascii="仿宋" w:hAnsi="仿宋" w:eastAsia="仿宋"/>
          <w:sz w:val="28"/>
          <w:szCs w:val="28"/>
        </w:rPr>
        <w:t>企业微信</w:t>
      </w:r>
      <w:r>
        <w:rPr>
          <w:rFonts w:ascii="仿宋" w:hAnsi="仿宋" w:eastAsia="仿宋"/>
          <w:sz w:val="28"/>
          <w:szCs w:val="28"/>
        </w:rPr>
        <w:t>用户在访问站点应用时，若该站点资源选择了开启水印功能，则站点页面会带有水印，以防止内部机密外传、方便回溯泄密源头。</w:t>
      </w:r>
    </w:p>
    <w:p>
      <w:pPr>
        <w:spacing w:after="0" w:line="360" w:lineRule="auto"/>
        <w:jc w:val="center"/>
        <w:rPr>
          <w:rFonts w:ascii="仿宋" w:hAnsi="仿宋" w:eastAsia="仿宋"/>
          <w:sz w:val="28"/>
          <w:szCs w:val="28"/>
        </w:rPr>
      </w:pPr>
      <w:r>
        <w:rPr>
          <w:rFonts w:ascii="仿宋" w:hAnsi="仿宋" w:eastAsia="仿宋"/>
          <w:sz w:val="28"/>
          <w:szCs w:val="28"/>
        </w:rPr>
        <w:drawing>
          <wp:inline distT="0" distB="0" distL="0" distR="0">
            <wp:extent cx="5472430" cy="2376170"/>
            <wp:effectExtent l="0" t="0" r="1270" b="0"/>
            <wp:docPr id="173690312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03122" name="图片 1" descr="图形用户界面, 文本&#10;&#10;描述已自动生成"/>
                    <pic:cNvPicPr>
                      <a:picLocks noChangeAspect="1"/>
                    </pic:cNvPicPr>
                  </pic:nvPicPr>
                  <pic:blipFill>
                    <a:blip r:embed="rId13"/>
                    <a:stretch>
                      <a:fillRect/>
                    </a:stretch>
                  </pic:blipFill>
                  <pic:spPr>
                    <a:xfrm>
                      <a:off x="0" y="0"/>
                      <a:ext cx="5512210" cy="2393681"/>
                    </a:xfrm>
                    <a:prstGeom prst="rect">
                      <a:avLst/>
                    </a:prstGeom>
                  </pic:spPr>
                </pic:pic>
              </a:graphicData>
            </a:graphic>
          </wp:inline>
        </w:drawing>
      </w:r>
    </w:p>
    <w:p>
      <w:pPr>
        <w:pStyle w:val="4"/>
        <w:numPr>
          <w:ilvl w:val="2"/>
          <w:numId w:val="6"/>
        </w:numPr>
        <w:rPr>
          <w:rFonts w:ascii="仿宋" w:hAnsi="仿宋" w:eastAsia="仿宋"/>
          <w:sz w:val="28"/>
          <w:szCs w:val="28"/>
        </w:rPr>
      </w:pPr>
      <w:r>
        <w:rPr>
          <w:rFonts w:hint="eastAsia" w:ascii="仿宋" w:hAnsi="仿宋" w:eastAsia="仿宋"/>
          <w:sz w:val="28"/>
          <w:szCs w:val="28"/>
        </w:rPr>
        <w:t>工作台应用管理和控制</w:t>
      </w:r>
    </w:p>
    <w:p>
      <w:pPr>
        <w:pStyle w:val="31"/>
        <w:spacing w:after="0"/>
        <w:ind w:firstLine="560" w:firstLineChars="200"/>
        <w:rPr>
          <w:rFonts w:ascii="仿宋" w:hAnsi="仿宋" w:eastAsia="仿宋"/>
          <w:sz w:val="28"/>
          <w:szCs w:val="28"/>
        </w:rPr>
      </w:pPr>
      <w:r>
        <w:rPr>
          <w:rFonts w:hint="eastAsia" w:ascii="仿宋" w:hAnsi="仿宋" w:eastAsia="仿宋"/>
          <w:sz w:val="28"/>
          <w:szCs w:val="28"/>
        </w:rPr>
        <w:t>对web应用、A</w:t>
      </w:r>
      <w:r>
        <w:rPr>
          <w:rFonts w:ascii="仿宋" w:hAnsi="仿宋" w:eastAsia="仿宋"/>
          <w:sz w:val="28"/>
          <w:szCs w:val="28"/>
        </w:rPr>
        <w:t>PI</w:t>
      </w:r>
      <w:r>
        <w:rPr>
          <w:rFonts w:hint="eastAsia" w:ascii="仿宋" w:hAnsi="仿宋" w:eastAsia="仿宋"/>
          <w:sz w:val="28"/>
          <w:szCs w:val="28"/>
        </w:rPr>
        <w:t>进行集中管控，可直观展示各应用/</w:t>
      </w:r>
      <w:r>
        <w:rPr>
          <w:rFonts w:ascii="仿宋" w:hAnsi="仿宋" w:eastAsia="仿宋"/>
          <w:sz w:val="28"/>
          <w:szCs w:val="28"/>
        </w:rPr>
        <w:t>API</w:t>
      </w:r>
      <w:r>
        <w:rPr>
          <w:rFonts w:hint="eastAsia" w:ascii="仿宋" w:hAnsi="仿宋" w:eastAsia="仿宋"/>
          <w:sz w:val="28"/>
          <w:szCs w:val="28"/>
        </w:rPr>
        <w:t>接口对外提供哪些服务、应用状态，及安全防护策略等信息，并提供紧急关停功能（一键实现应用批量下线控制）。</w:t>
      </w:r>
    </w:p>
    <w:p>
      <w:pPr>
        <w:pStyle w:val="31"/>
        <w:spacing w:after="0"/>
        <w:jc w:val="center"/>
        <w:rPr>
          <w:rFonts w:ascii="仿宋" w:hAnsi="仿宋" w:eastAsia="仿宋"/>
        </w:rPr>
      </w:pPr>
      <w:r>
        <w:rPr>
          <w:rFonts w:ascii="仿宋" w:hAnsi="仿宋" w:eastAsia="仿宋"/>
        </w:rPr>
        <w:drawing>
          <wp:inline distT="0" distB="0" distL="0" distR="0">
            <wp:extent cx="5279390" cy="1741805"/>
            <wp:effectExtent l="0" t="0" r="0" b="0"/>
            <wp:docPr id="1180840132" name="图片 1180840132"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1180840132" name="图片 1180840132" descr="图形用户界面, 应用程序&#10;&#10;描述已自动生成"/>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9390" cy="1741805"/>
                    </a:xfrm>
                    <a:prstGeom prst="rect">
                      <a:avLst/>
                    </a:prstGeom>
                    <a:noFill/>
                    <a:ln>
                      <a:noFill/>
                    </a:ln>
                  </pic:spPr>
                </pic:pic>
              </a:graphicData>
            </a:graphic>
          </wp:inline>
        </w:drawing>
      </w:r>
    </w:p>
    <w:p>
      <w:pPr>
        <w:pStyle w:val="31"/>
        <w:spacing w:after="0"/>
        <w:jc w:val="center"/>
        <w:rPr>
          <w:rFonts w:ascii="仿宋" w:hAnsi="仿宋" w:eastAsia="仿宋"/>
        </w:rPr>
      </w:pPr>
      <w:r>
        <w:rPr>
          <w:rFonts w:ascii="仿宋" w:hAnsi="仿宋" w:eastAsia="仿宋"/>
        </w:rPr>
        <w:drawing>
          <wp:inline distT="0" distB="0" distL="0" distR="0">
            <wp:extent cx="4093210" cy="2122805"/>
            <wp:effectExtent l="0" t="0" r="0" b="0"/>
            <wp:docPr id="302741979" name="图片 302741979" descr="图形用户界面&#10;&#10;描述已自动生成"/>
            <wp:cNvGraphicFramePr/>
            <a:graphic xmlns:a="http://schemas.openxmlformats.org/drawingml/2006/main">
              <a:graphicData uri="http://schemas.openxmlformats.org/drawingml/2006/picture">
                <pic:pic xmlns:pic="http://schemas.openxmlformats.org/drawingml/2006/picture">
                  <pic:nvPicPr>
                    <pic:cNvPr id="302741979" name="图片 302741979" descr="图形用户界面&#10;&#10;描述已自动生成"/>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93210" cy="2122805"/>
                    </a:xfrm>
                    <a:prstGeom prst="rect">
                      <a:avLst/>
                    </a:prstGeom>
                    <a:noFill/>
                    <a:ln>
                      <a:noFill/>
                    </a:ln>
                  </pic:spPr>
                </pic:pic>
              </a:graphicData>
            </a:graphic>
          </wp:inline>
        </w:drawing>
      </w:r>
    </w:p>
    <w:p>
      <w:pPr>
        <w:pStyle w:val="31"/>
        <w:spacing w:after="0"/>
        <w:rPr>
          <w:rFonts w:ascii="仿宋" w:hAnsi="仿宋" w:eastAsia="仿宋"/>
        </w:rPr>
      </w:pPr>
      <w:r>
        <w:rPr>
          <w:rFonts w:ascii="仿宋" w:hAnsi="仿宋" w:eastAsia="仿宋"/>
        </w:rPr>
        <w:drawing>
          <wp:inline distT="0" distB="0" distL="0" distR="0">
            <wp:extent cx="5279390" cy="2155190"/>
            <wp:effectExtent l="0" t="0" r="0" b="0"/>
            <wp:docPr id="648892822" name="图片 648892822"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648892822" name="图片 648892822" descr="图形用户界面, 应用程序&#10;&#10;描述已自动生成"/>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9390" cy="2155190"/>
                    </a:xfrm>
                    <a:prstGeom prst="rect">
                      <a:avLst/>
                    </a:prstGeom>
                    <a:noFill/>
                    <a:ln>
                      <a:noFill/>
                    </a:ln>
                  </pic:spPr>
                </pic:pic>
              </a:graphicData>
            </a:graphic>
          </wp:inline>
        </w:drawing>
      </w:r>
    </w:p>
    <w:p>
      <w:pPr>
        <w:pStyle w:val="31"/>
        <w:spacing w:after="0"/>
        <w:ind w:firstLine="560" w:firstLineChars="200"/>
        <w:rPr>
          <w:rFonts w:ascii="仿宋" w:hAnsi="仿宋" w:eastAsia="仿宋"/>
          <w:sz w:val="28"/>
          <w:szCs w:val="40"/>
        </w:rPr>
      </w:pPr>
      <w:r>
        <w:rPr>
          <w:rFonts w:hint="eastAsia" w:ascii="仿宋" w:hAnsi="仿宋" w:eastAsia="仿宋"/>
          <w:sz w:val="28"/>
          <w:szCs w:val="40"/>
        </w:rPr>
        <w:t>对自建应用及A</w:t>
      </w:r>
      <w:r>
        <w:rPr>
          <w:rFonts w:ascii="仿宋" w:hAnsi="仿宋" w:eastAsia="仿宋"/>
          <w:sz w:val="28"/>
          <w:szCs w:val="40"/>
        </w:rPr>
        <w:t>PI</w:t>
      </w:r>
      <w:r>
        <w:rPr>
          <w:rFonts w:hint="eastAsia" w:ascii="仿宋" w:hAnsi="仿宋" w:eastAsia="仿宋"/>
          <w:sz w:val="28"/>
          <w:szCs w:val="40"/>
        </w:rPr>
        <w:t>接口进行鉴权和访问控制。可对应用进行用户访问权限的分配达到管控目的，仅有授权用户可访问。</w:t>
      </w:r>
    </w:p>
    <w:p>
      <w:pPr>
        <w:pStyle w:val="31"/>
        <w:spacing w:after="0"/>
        <w:jc w:val="center"/>
        <w:rPr>
          <w:rFonts w:ascii="仿宋" w:hAnsi="仿宋" w:eastAsia="仿宋"/>
        </w:rPr>
      </w:pPr>
      <w:r>
        <w:rPr>
          <w:rFonts w:ascii="仿宋" w:hAnsi="仿宋" w:eastAsia="仿宋"/>
        </w:rPr>
        <w:drawing>
          <wp:inline distT="0" distB="0" distL="0" distR="0">
            <wp:extent cx="5279390" cy="1894205"/>
            <wp:effectExtent l="0" t="0" r="0" b="0"/>
            <wp:docPr id="7" name="图片 1"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7" name="图片 1" descr="图形用户界面, 文本, 应用程序&#10;&#10;描述已自动生成"/>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9390" cy="1894205"/>
                    </a:xfrm>
                    <a:prstGeom prst="rect">
                      <a:avLst/>
                    </a:prstGeom>
                    <a:noFill/>
                    <a:ln>
                      <a:noFill/>
                    </a:ln>
                  </pic:spPr>
                </pic:pic>
              </a:graphicData>
            </a:graphic>
          </wp:inline>
        </w:drawing>
      </w:r>
    </w:p>
    <w:p>
      <w:pPr>
        <w:pStyle w:val="31"/>
        <w:spacing w:after="0"/>
        <w:jc w:val="center"/>
        <w:rPr>
          <w:rFonts w:ascii="仿宋" w:hAnsi="仿宋" w:eastAsia="仿宋"/>
        </w:rPr>
      </w:pPr>
      <w:r>
        <w:rPr>
          <w:rFonts w:ascii="仿宋" w:hAnsi="仿宋" w:eastAsia="仿宋"/>
        </w:rPr>
        <w:drawing>
          <wp:inline distT="0" distB="0" distL="0" distR="0">
            <wp:extent cx="5279390" cy="3537585"/>
            <wp:effectExtent l="0" t="0" r="0" b="0"/>
            <wp:docPr id="8" name="图片 1"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8" name="图片 1" descr="图形用户界面, 应用程序&#10;&#10;描述已自动生成"/>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9390" cy="3537585"/>
                    </a:xfrm>
                    <a:prstGeom prst="rect">
                      <a:avLst/>
                    </a:prstGeom>
                    <a:noFill/>
                    <a:ln>
                      <a:noFill/>
                    </a:ln>
                  </pic:spPr>
                </pic:pic>
              </a:graphicData>
            </a:graphic>
          </wp:inline>
        </w:drawing>
      </w:r>
    </w:p>
    <w:p>
      <w:pPr>
        <w:pStyle w:val="4"/>
        <w:numPr>
          <w:ilvl w:val="2"/>
          <w:numId w:val="6"/>
        </w:numPr>
        <w:rPr>
          <w:rFonts w:ascii="仿宋" w:hAnsi="仿宋" w:eastAsia="仿宋"/>
          <w:sz w:val="28"/>
          <w:szCs w:val="28"/>
        </w:rPr>
      </w:pPr>
      <w:r>
        <w:rPr>
          <w:rFonts w:hint="eastAsia" w:ascii="仿宋" w:hAnsi="仿宋" w:eastAsia="仿宋"/>
          <w:sz w:val="28"/>
          <w:szCs w:val="28"/>
        </w:rPr>
        <w:t>身份认证和授权</w:t>
      </w:r>
    </w:p>
    <w:p>
      <w:pPr>
        <w:pStyle w:val="31"/>
        <w:spacing w:after="0"/>
        <w:ind w:firstLine="560" w:firstLineChars="200"/>
        <w:jc w:val="both"/>
        <w:rPr>
          <w:rFonts w:ascii="仿宋" w:hAnsi="仿宋" w:eastAsia="仿宋"/>
          <w:sz w:val="28"/>
          <w:szCs w:val="28"/>
        </w:rPr>
      </w:pPr>
      <w:r>
        <w:rPr>
          <w:rFonts w:hint="eastAsia" w:ascii="仿宋" w:hAnsi="仿宋" w:eastAsia="仿宋"/>
          <w:sz w:val="28"/>
          <w:szCs w:val="28"/>
        </w:rPr>
        <w:t>网关支持多种认证方式，包括企业微信扫码认证、密钥对认证等（当添加的资源是web业务系统时，可采用企业微信扫码认证；当添加的资源是API接口时，可采用密钥对认证的方式）。</w:t>
      </w:r>
    </w:p>
    <w:p>
      <w:pPr>
        <w:pStyle w:val="31"/>
        <w:widowControl w:val="0"/>
        <w:numPr>
          <w:ilvl w:val="0"/>
          <w:numId w:val="7"/>
        </w:numPr>
        <w:spacing w:after="0"/>
        <w:jc w:val="both"/>
        <w:rPr>
          <w:rFonts w:ascii="仿宋" w:hAnsi="仿宋" w:eastAsia="仿宋"/>
          <w:sz w:val="28"/>
          <w:szCs w:val="28"/>
        </w:rPr>
      </w:pPr>
      <w:r>
        <w:rPr>
          <w:rFonts w:hint="eastAsia" w:ascii="仿宋" w:hAnsi="仿宋" w:eastAsia="仿宋"/>
          <w:sz w:val="28"/>
          <w:szCs w:val="28"/>
        </w:rPr>
        <w:t>企业微信扫码认证</w:t>
      </w:r>
    </w:p>
    <w:p>
      <w:pPr>
        <w:pStyle w:val="31"/>
        <w:spacing w:after="0"/>
        <w:ind w:firstLine="560" w:firstLineChars="200"/>
        <w:jc w:val="both"/>
        <w:rPr>
          <w:rFonts w:ascii="仿宋" w:hAnsi="仿宋" w:eastAsia="仿宋"/>
          <w:sz w:val="28"/>
          <w:szCs w:val="28"/>
        </w:rPr>
      </w:pPr>
      <w:r>
        <w:rPr>
          <w:rFonts w:hint="eastAsia" w:ascii="仿宋" w:hAnsi="仿宋" w:eastAsia="仿宋"/>
          <w:sz w:val="28"/>
          <w:szCs w:val="28"/>
        </w:rPr>
        <w:t>随着办公移动化，企业微信越来越多的进入企业用户的日常工作中，企微网关集成企业微信认证方式， 为企业提供一体化的集成方案。</w:t>
      </w:r>
    </w:p>
    <w:p>
      <w:pPr>
        <w:pStyle w:val="31"/>
        <w:widowControl w:val="0"/>
        <w:numPr>
          <w:ilvl w:val="0"/>
          <w:numId w:val="7"/>
        </w:numPr>
        <w:spacing w:after="0"/>
        <w:jc w:val="both"/>
        <w:rPr>
          <w:rFonts w:ascii="仿宋" w:hAnsi="仿宋" w:eastAsia="仿宋"/>
          <w:sz w:val="28"/>
          <w:szCs w:val="28"/>
        </w:rPr>
      </w:pPr>
      <w:r>
        <w:rPr>
          <w:rFonts w:hint="eastAsia" w:ascii="仿宋" w:hAnsi="仿宋" w:eastAsia="仿宋"/>
          <w:sz w:val="28"/>
          <w:szCs w:val="28"/>
        </w:rPr>
        <w:t>密钥认证</w:t>
      </w:r>
    </w:p>
    <w:p>
      <w:pPr>
        <w:pStyle w:val="31"/>
        <w:spacing w:after="0"/>
        <w:ind w:firstLine="560" w:firstLineChars="200"/>
        <w:jc w:val="both"/>
        <w:rPr>
          <w:rFonts w:ascii="仿宋" w:hAnsi="仿宋" w:eastAsia="仿宋"/>
          <w:sz w:val="28"/>
          <w:szCs w:val="28"/>
        </w:rPr>
      </w:pPr>
      <w:r>
        <w:rPr>
          <w:rFonts w:hint="eastAsia" w:ascii="仿宋" w:hAnsi="仿宋" w:eastAsia="仿宋"/>
          <w:sz w:val="28"/>
          <w:szCs w:val="28"/>
        </w:rPr>
        <w:t>API接口的密钥对认证也是常见的鉴权方式之一。网关会对每个访问请求进行身份验证，即每个请求都需要在参数中包含签名信息（Signature）以验证请求者身份。签名信息由安全凭证生成，安全凭证包括 SecretId 和 SecretKey，二者内容没有关系、无法相互推算。当请求的签名和服务器的签名计算进行相等验证通过时，则放行此请求。该验证方式的安全性高，且占用计算资源和网络资源都很少。</w:t>
      </w:r>
    </w:p>
    <w:p>
      <w:pPr>
        <w:pStyle w:val="4"/>
        <w:numPr>
          <w:ilvl w:val="2"/>
          <w:numId w:val="6"/>
        </w:numPr>
        <w:rPr>
          <w:rFonts w:ascii="仿宋" w:hAnsi="仿宋" w:eastAsia="仿宋"/>
          <w:sz w:val="28"/>
          <w:szCs w:val="28"/>
        </w:rPr>
      </w:pPr>
      <w:r>
        <w:rPr>
          <w:rFonts w:hint="eastAsia" w:ascii="仿宋" w:hAnsi="仿宋" w:eastAsia="仿宋"/>
          <w:sz w:val="28"/>
          <w:szCs w:val="28"/>
        </w:rPr>
        <w:t>日志和审计功能</w:t>
      </w:r>
    </w:p>
    <w:p>
      <w:pPr>
        <w:pStyle w:val="31"/>
        <w:spacing w:after="0"/>
        <w:ind w:firstLine="560" w:firstLineChars="200"/>
        <w:jc w:val="both"/>
        <w:rPr>
          <w:rFonts w:ascii="仿宋" w:hAnsi="仿宋" w:eastAsia="仿宋"/>
          <w:sz w:val="28"/>
          <w:szCs w:val="28"/>
        </w:rPr>
      </w:pPr>
      <w:r>
        <w:rPr>
          <w:rFonts w:hint="eastAsia" w:ascii="仿宋" w:hAnsi="仿宋" w:eastAsia="仿宋"/>
          <w:sz w:val="28"/>
          <w:szCs w:val="28"/>
        </w:rPr>
        <w:t>全面记录用户日志、管理员日志等，用户使用网关中所有产生的请求信息都会有记录，管理员可以用过管理后台直接查看所有的访问日志，支持回溯审计。</w:t>
      </w:r>
    </w:p>
    <w:p>
      <w:pPr>
        <w:pStyle w:val="31"/>
        <w:widowControl w:val="0"/>
        <w:numPr>
          <w:ilvl w:val="0"/>
          <w:numId w:val="8"/>
        </w:numPr>
        <w:spacing w:after="0"/>
        <w:rPr>
          <w:rFonts w:ascii="仿宋" w:hAnsi="仿宋" w:eastAsia="仿宋"/>
          <w:sz w:val="28"/>
          <w:szCs w:val="28"/>
        </w:rPr>
      </w:pPr>
      <w:r>
        <w:rPr>
          <w:rFonts w:hint="eastAsia" w:ascii="仿宋" w:hAnsi="仿宋" w:eastAsia="仿宋"/>
          <w:sz w:val="28"/>
          <w:szCs w:val="28"/>
        </w:rPr>
        <w:t>用户登录日志</w:t>
      </w:r>
    </w:p>
    <w:p>
      <w:pPr>
        <w:pStyle w:val="31"/>
        <w:spacing w:after="0"/>
        <w:rPr>
          <w:rFonts w:ascii="仿宋" w:hAnsi="仿宋" w:eastAsia="仿宋"/>
          <w:sz w:val="28"/>
          <w:szCs w:val="28"/>
        </w:rPr>
      </w:pPr>
      <w:r>
        <w:rPr>
          <w:rFonts w:ascii="仿宋" w:hAnsi="仿宋" w:eastAsia="仿宋"/>
          <w:sz w:val="28"/>
          <w:szCs w:val="28"/>
        </w:rPr>
        <w:drawing>
          <wp:inline distT="0" distB="0" distL="0" distR="0">
            <wp:extent cx="5279390" cy="1905000"/>
            <wp:effectExtent l="0" t="0" r="0" b="0"/>
            <wp:docPr id="9" name="图片 1"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9" name="图片 1" descr="图形用户界面, 应用程序&#10;&#10;描述已自动生成"/>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9390" cy="1905000"/>
                    </a:xfrm>
                    <a:prstGeom prst="rect">
                      <a:avLst/>
                    </a:prstGeom>
                    <a:noFill/>
                    <a:ln>
                      <a:noFill/>
                    </a:ln>
                  </pic:spPr>
                </pic:pic>
              </a:graphicData>
            </a:graphic>
          </wp:inline>
        </w:drawing>
      </w:r>
    </w:p>
    <w:p>
      <w:pPr>
        <w:pStyle w:val="31"/>
        <w:widowControl w:val="0"/>
        <w:numPr>
          <w:ilvl w:val="0"/>
          <w:numId w:val="8"/>
        </w:numPr>
        <w:spacing w:after="0"/>
        <w:rPr>
          <w:rFonts w:ascii="仿宋" w:hAnsi="仿宋" w:eastAsia="仿宋"/>
          <w:sz w:val="28"/>
          <w:szCs w:val="28"/>
        </w:rPr>
      </w:pPr>
      <w:r>
        <w:rPr>
          <w:rFonts w:hint="eastAsia" w:ascii="仿宋" w:hAnsi="仿宋" w:eastAsia="仿宋"/>
          <w:sz w:val="28"/>
          <w:szCs w:val="28"/>
        </w:rPr>
        <w:t>后台操作日志</w:t>
      </w:r>
    </w:p>
    <w:p>
      <w:pPr>
        <w:pStyle w:val="31"/>
        <w:spacing w:after="0"/>
        <w:rPr>
          <w:rFonts w:ascii="仿宋" w:hAnsi="仿宋" w:eastAsia="仿宋"/>
          <w:sz w:val="28"/>
          <w:szCs w:val="28"/>
        </w:rPr>
      </w:pPr>
      <w:r>
        <w:rPr>
          <w:rFonts w:ascii="仿宋" w:hAnsi="仿宋" w:eastAsia="仿宋"/>
          <w:sz w:val="28"/>
          <w:szCs w:val="28"/>
        </w:rPr>
        <w:drawing>
          <wp:inline distT="0" distB="0" distL="0" distR="0">
            <wp:extent cx="5279390" cy="2057400"/>
            <wp:effectExtent l="0" t="0" r="0" b="0"/>
            <wp:docPr id="10" name="图片 1" descr="图形用户界面, 表格&#10;&#10;描述已自动生成"/>
            <wp:cNvGraphicFramePr/>
            <a:graphic xmlns:a="http://schemas.openxmlformats.org/drawingml/2006/main">
              <a:graphicData uri="http://schemas.openxmlformats.org/drawingml/2006/picture">
                <pic:pic xmlns:pic="http://schemas.openxmlformats.org/drawingml/2006/picture">
                  <pic:nvPicPr>
                    <pic:cNvPr id="10" name="图片 1" descr="图形用户界面, 表格&#10;&#10;描述已自动生成"/>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9390" cy="2057400"/>
                    </a:xfrm>
                    <a:prstGeom prst="rect">
                      <a:avLst/>
                    </a:prstGeom>
                    <a:noFill/>
                    <a:ln>
                      <a:noFill/>
                    </a:ln>
                  </pic:spPr>
                </pic:pic>
              </a:graphicData>
            </a:graphic>
          </wp:inline>
        </w:drawing>
      </w:r>
    </w:p>
    <w:p>
      <w:pPr>
        <w:pStyle w:val="31"/>
        <w:widowControl w:val="0"/>
        <w:numPr>
          <w:ilvl w:val="0"/>
          <w:numId w:val="8"/>
        </w:numPr>
        <w:spacing w:after="0"/>
        <w:rPr>
          <w:rFonts w:ascii="仿宋" w:hAnsi="仿宋" w:eastAsia="仿宋"/>
          <w:sz w:val="28"/>
          <w:szCs w:val="28"/>
        </w:rPr>
      </w:pPr>
      <w:r>
        <w:rPr>
          <w:rFonts w:hint="eastAsia" w:ascii="仿宋" w:hAnsi="仿宋" w:eastAsia="仿宋"/>
          <w:sz w:val="28"/>
          <w:szCs w:val="28"/>
        </w:rPr>
        <w:t>业务访问日志</w:t>
      </w:r>
    </w:p>
    <w:p>
      <w:pPr>
        <w:pStyle w:val="31"/>
        <w:spacing w:after="0"/>
        <w:rPr>
          <w:rFonts w:ascii="仿宋" w:hAnsi="仿宋" w:eastAsia="仿宋"/>
          <w:sz w:val="28"/>
          <w:szCs w:val="28"/>
        </w:rPr>
      </w:pPr>
      <w:r>
        <w:rPr>
          <w:rFonts w:ascii="仿宋" w:hAnsi="仿宋" w:eastAsia="仿宋"/>
          <w:sz w:val="28"/>
          <w:szCs w:val="28"/>
        </w:rPr>
        <w:drawing>
          <wp:inline distT="0" distB="0" distL="0" distR="0">
            <wp:extent cx="5290185" cy="1861185"/>
            <wp:effectExtent l="0" t="0" r="0" b="0"/>
            <wp:docPr id="11" name="图片 1"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11" name="图片 1" descr="图形用户界面, 应用程序&#10;&#10;描述已自动生成"/>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90185" cy="1861185"/>
                    </a:xfrm>
                    <a:prstGeom prst="rect">
                      <a:avLst/>
                    </a:prstGeom>
                    <a:noFill/>
                    <a:ln>
                      <a:noFill/>
                    </a:ln>
                  </pic:spPr>
                </pic:pic>
              </a:graphicData>
            </a:graphic>
          </wp:inline>
        </w:drawing>
      </w:r>
    </w:p>
    <w:p>
      <w:pPr>
        <w:pStyle w:val="31"/>
        <w:spacing w:after="0"/>
        <w:rPr>
          <w:rFonts w:ascii="仿宋" w:hAnsi="仿宋" w:eastAsia="仿宋"/>
          <w:sz w:val="28"/>
          <w:szCs w:val="28"/>
        </w:rPr>
      </w:pPr>
      <w:r>
        <w:rPr>
          <w:rFonts w:ascii="仿宋" w:hAnsi="仿宋" w:eastAsia="仿宋"/>
          <w:sz w:val="28"/>
          <w:szCs w:val="28"/>
        </w:rPr>
        <w:drawing>
          <wp:inline distT="0" distB="0" distL="0" distR="0">
            <wp:extent cx="5279390" cy="3472815"/>
            <wp:effectExtent l="0" t="0" r="0" b="0"/>
            <wp:docPr id="13" name="图片 1" descr="图形用户界面, 文本, 应用程序, 电子邮件&#10;&#10;描述已自动生成"/>
            <wp:cNvGraphicFramePr/>
            <a:graphic xmlns:a="http://schemas.openxmlformats.org/drawingml/2006/main">
              <a:graphicData uri="http://schemas.openxmlformats.org/drawingml/2006/picture">
                <pic:pic xmlns:pic="http://schemas.openxmlformats.org/drawingml/2006/picture">
                  <pic:nvPicPr>
                    <pic:cNvPr id="13" name="图片 1" descr="图形用户界面, 文本, 应用程序, 电子邮件&#10;&#10;描述已自动生成"/>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9390" cy="3472815"/>
                    </a:xfrm>
                    <a:prstGeom prst="rect">
                      <a:avLst/>
                    </a:prstGeom>
                    <a:noFill/>
                    <a:ln>
                      <a:noFill/>
                    </a:ln>
                  </pic:spPr>
                </pic:pic>
              </a:graphicData>
            </a:graphic>
          </wp:inline>
        </w:drawing>
      </w:r>
    </w:p>
    <w:p>
      <w:pPr>
        <w:pStyle w:val="4"/>
        <w:numPr>
          <w:ilvl w:val="2"/>
          <w:numId w:val="6"/>
        </w:numPr>
        <w:rPr>
          <w:rFonts w:ascii="仿宋" w:hAnsi="仿宋" w:eastAsia="仿宋"/>
          <w:sz w:val="28"/>
          <w:szCs w:val="28"/>
        </w:rPr>
      </w:pPr>
      <w:r>
        <w:rPr>
          <w:rFonts w:hint="eastAsia" w:ascii="仿宋" w:hAnsi="仿宋" w:eastAsia="仿宋"/>
          <w:sz w:val="28"/>
          <w:szCs w:val="28"/>
        </w:rPr>
        <w:t>企业微信联动</w:t>
      </w:r>
    </w:p>
    <w:p>
      <w:pPr>
        <w:pStyle w:val="31"/>
        <w:spacing w:after="0"/>
        <w:ind w:firstLine="560" w:firstLineChars="200"/>
        <w:rPr>
          <w:rFonts w:ascii="仿宋" w:hAnsi="仿宋" w:eastAsia="仿宋"/>
          <w:sz w:val="28"/>
          <w:szCs w:val="28"/>
        </w:rPr>
      </w:pPr>
      <w:r>
        <w:rPr>
          <w:rFonts w:hint="eastAsia" w:ascii="仿宋" w:hAnsi="仿宋" w:eastAsia="仿宋"/>
          <w:sz w:val="28"/>
          <w:szCs w:val="28"/>
        </w:rPr>
        <w:t>企业微信和网关集成助力企业微信 ，通过企业微信工作台，打通企业内网应用，提高企业移动办公效率。</w:t>
      </w:r>
    </w:p>
    <w:p>
      <w:pPr>
        <w:pStyle w:val="31"/>
        <w:spacing w:after="0"/>
        <w:rPr>
          <w:rFonts w:ascii="仿宋" w:hAnsi="仿宋" w:eastAsia="仿宋"/>
          <w:sz w:val="28"/>
          <w:szCs w:val="28"/>
        </w:rPr>
      </w:pPr>
    </w:p>
    <w:p>
      <w:pPr>
        <w:pStyle w:val="2"/>
        <w:numPr>
          <w:ilvl w:val="0"/>
          <w:numId w:val="3"/>
        </w:numPr>
        <w:spacing w:before="0" w:after="0" w:line="360" w:lineRule="auto"/>
        <w:rPr>
          <w:rFonts w:ascii="仿宋" w:hAnsi="仿宋" w:eastAsia="仿宋"/>
          <w:b/>
          <w:bCs/>
        </w:rPr>
      </w:pPr>
      <w:bookmarkStart w:id="0" w:name="_Toc103932435"/>
      <w:bookmarkStart w:id="1" w:name="_Toc28107830"/>
      <w:r>
        <w:rPr>
          <w:rFonts w:hint="eastAsia" w:ascii="仿宋" w:hAnsi="仿宋" w:eastAsia="仿宋"/>
          <w:b/>
          <w:bCs/>
        </w:rPr>
        <w:t>优势</w:t>
      </w:r>
      <w:bookmarkEnd w:id="0"/>
      <w:bookmarkEnd w:id="1"/>
      <w:r>
        <w:rPr>
          <w:rFonts w:hint="eastAsia" w:ascii="仿宋" w:hAnsi="仿宋" w:eastAsia="仿宋"/>
          <w:b/>
          <w:bCs/>
        </w:rPr>
        <w:t>亮点</w:t>
      </w:r>
    </w:p>
    <w:p>
      <w:pPr>
        <w:pStyle w:val="33"/>
        <w:tabs>
          <w:tab w:val="clear" w:pos="567"/>
        </w:tabs>
        <w:spacing w:before="0" w:beforeLines="0" w:after="0" w:afterLines="0" w:line="360" w:lineRule="auto"/>
        <w:ind w:firstLine="420"/>
        <w:rPr>
          <w:rFonts w:ascii="仿宋" w:hAnsi="仿宋" w:eastAsia="仿宋"/>
          <w:b/>
          <w:bCs/>
        </w:rPr>
      </w:pPr>
      <w:bookmarkStart w:id="2" w:name="_Toc103932436"/>
      <w:bookmarkStart w:id="3" w:name="_Toc28107831"/>
      <w:r>
        <w:rPr>
          <w:rFonts w:hint="eastAsia" w:ascii="仿宋" w:hAnsi="仿宋" w:eastAsia="仿宋"/>
          <w:b/>
          <w:bCs/>
        </w:rPr>
        <w:t>1.</w:t>
      </w:r>
      <w:bookmarkEnd w:id="2"/>
      <w:bookmarkEnd w:id="3"/>
      <w:r>
        <w:rPr>
          <w:rFonts w:hint="eastAsia" w:ascii="仿宋" w:hAnsi="仿宋" w:eastAsia="仿宋"/>
          <w:b/>
          <w:bCs/>
        </w:rPr>
        <w:t>系统化数据安全治理技术支持</w:t>
      </w:r>
    </w:p>
    <w:p>
      <w:pPr>
        <w:spacing w:after="0" w:line="360" w:lineRule="auto"/>
        <w:ind w:firstLine="420"/>
        <w:rPr>
          <w:rFonts w:ascii="仿宋" w:hAnsi="仿宋" w:eastAsia="仿宋"/>
          <w:sz w:val="28"/>
          <w:szCs w:val="28"/>
        </w:rPr>
      </w:pPr>
      <w:r>
        <w:rPr>
          <w:rFonts w:hint="eastAsia" w:ascii="仿宋" w:hAnsi="仿宋" w:eastAsia="仿宋"/>
          <w:sz w:val="28"/>
          <w:szCs w:val="28"/>
        </w:rPr>
        <w:t>为了解决数据安全合规治理问题，集团首先需要建立一个符合自身业务特点的治理框架，按照框架落地数据安全治理工作。在技术工作层面，最核心最关键的就是通过自动化工具识别出敏感数据，以及相应的安全合规的风险点，它是数据安全治理工作的前置条件。本方案结合数据安全治理最佳实践，提供了数据发现、分类分级、风险评估、统一策略管理、持续监测与告警等一站式的数据安全治理技术工具，帮助用户落地数据安全治理难题。</w:t>
      </w:r>
    </w:p>
    <w:p>
      <w:pPr>
        <w:spacing w:after="0" w:line="360" w:lineRule="auto"/>
        <w:rPr>
          <w:rFonts w:ascii="仿宋" w:hAnsi="仿宋" w:eastAsia="仿宋"/>
          <w:sz w:val="28"/>
          <w:szCs w:val="28"/>
        </w:rPr>
      </w:pPr>
      <w:r>
        <w:rPr>
          <w:rFonts w:ascii="腾讯体 W3" w:hAnsi="腾讯体 W3" w:eastAsia="腾讯体 W3"/>
          <w:sz w:val="22"/>
        </w:rPr>
        <w:drawing>
          <wp:inline distT="0" distB="0" distL="0" distR="0">
            <wp:extent cx="5600700" cy="2519680"/>
            <wp:effectExtent l="0" t="0" r="0" b="0"/>
            <wp:docPr id="819125677" name="图片 1" descr="图示,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5677" name="图片 1" descr="图示, 箭头&#10;&#10;描述已自动生成"/>
                    <pic:cNvPicPr>
                      <a:picLocks noChangeAspect="1"/>
                    </pic:cNvPicPr>
                  </pic:nvPicPr>
                  <pic:blipFill>
                    <a:blip r:embed="rId23"/>
                    <a:stretch>
                      <a:fillRect/>
                    </a:stretch>
                  </pic:blipFill>
                  <pic:spPr>
                    <a:xfrm>
                      <a:off x="0" y="0"/>
                      <a:ext cx="5600700" cy="2519982"/>
                    </a:xfrm>
                    <a:prstGeom prst="rect">
                      <a:avLst/>
                    </a:prstGeom>
                  </pic:spPr>
                </pic:pic>
              </a:graphicData>
            </a:graphic>
          </wp:inline>
        </w:drawing>
      </w:r>
    </w:p>
    <w:p>
      <w:pPr>
        <w:pStyle w:val="33"/>
        <w:tabs>
          <w:tab w:val="clear" w:pos="567"/>
        </w:tabs>
        <w:spacing w:before="0" w:beforeLines="0" w:after="0" w:afterLines="0" w:line="360" w:lineRule="auto"/>
        <w:ind w:firstLine="420"/>
        <w:rPr>
          <w:rFonts w:ascii="仿宋" w:hAnsi="仿宋" w:eastAsia="仿宋"/>
          <w:b/>
          <w:bCs/>
        </w:rPr>
      </w:pPr>
      <w:r>
        <w:rPr>
          <w:rFonts w:ascii="仿宋" w:hAnsi="仿宋" w:eastAsia="仿宋"/>
          <w:b/>
          <w:bCs/>
        </w:rPr>
        <w:t>2</w:t>
      </w:r>
      <w:r>
        <w:rPr>
          <w:rFonts w:hint="eastAsia" w:ascii="仿宋" w:hAnsi="仿宋" w:eastAsia="仿宋"/>
          <w:b/>
          <w:bCs/>
        </w:rPr>
        <w:t>.高度灵活的分级分类策略</w:t>
      </w:r>
    </w:p>
    <w:p>
      <w:pPr>
        <w:ind w:firstLine="420"/>
        <w:rPr>
          <w:rFonts w:ascii="仿宋" w:hAnsi="仿宋" w:eastAsia="仿宋"/>
          <w:sz w:val="28"/>
          <w:szCs w:val="28"/>
        </w:rPr>
      </w:pPr>
      <w:r>
        <w:rPr>
          <w:rFonts w:hint="eastAsia" w:ascii="仿宋" w:hAnsi="仿宋" w:eastAsia="仿宋"/>
          <w:sz w:val="28"/>
          <w:szCs w:val="28"/>
        </w:rPr>
        <w:t>产品内置了个人信息、个人金融信息、汽车等行业的数据分类分级模版及超过2</w:t>
      </w:r>
      <w:r>
        <w:rPr>
          <w:rFonts w:ascii="仿宋" w:hAnsi="仿宋" w:eastAsia="仿宋"/>
          <w:sz w:val="28"/>
          <w:szCs w:val="28"/>
        </w:rPr>
        <w:t>24</w:t>
      </w:r>
      <w:r>
        <w:rPr>
          <w:rFonts w:hint="eastAsia" w:ascii="仿宋" w:hAnsi="仿宋" w:eastAsia="仿宋"/>
          <w:sz w:val="28"/>
          <w:szCs w:val="28"/>
        </w:rPr>
        <w:t xml:space="preserve">个数据识别规则。然而不同业务属性、不同行业标准的数据分类分级不尽相同；甚至即便相同的数据项，在不同的场景中，对应的数据敏感级别分级也不尽相同。通过将数据识别规则、数据分类、敏感分级进行解耦，并支持用户以任意组合制定满足业务不同业务及管理需求场景的分类分级模版，满足多样化的数据分类分级及数据安全治理管理需求。 </w:t>
      </w:r>
    </w:p>
    <w:p>
      <w:pPr>
        <w:rPr>
          <w:rFonts w:ascii="仿宋" w:hAnsi="仿宋" w:eastAsia="仿宋"/>
          <w:sz w:val="28"/>
          <w:szCs w:val="28"/>
        </w:rPr>
      </w:pPr>
      <w:r>
        <w:rPr>
          <w:rFonts w:ascii="腾讯体 W3" w:hAnsi="腾讯体 W3" w:eastAsia="腾讯体 W3"/>
          <w:sz w:val="22"/>
        </w:rPr>
        <w:drawing>
          <wp:inline distT="0" distB="0" distL="0" distR="0">
            <wp:extent cx="5600700" cy="2658110"/>
            <wp:effectExtent l="0" t="0" r="0" b="0"/>
            <wp:docPr id="2099276696" name="图片 209927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76696" name="图片 2099276696"/>
                    <pic:cNvPicPr>
                      <a:picLocks noChangeAspect="1"/>
                    </pic:cNvPicPr>
                  </pic:nvPicPr>
                  <pic:blipFill>
                    <a:blip r:embed="rId24"/>
                    <a:stretch>
                      <a:fillRect/>
                    </a:stretch>
                  </pic:blipFill>
                  <pic:spPr>
                    <a:xfrm>
                      <a:off x="0" y="0"/>
                      <a:ext cx="5600700" cy="2658226"/>
                    </a:xfrm>
                    <a:prstGeom prst="rect">
                      <a:avLst/>
                    </a:prstGeom>
                  </pic:spPr>
                </pic:pic>
              </a:graphicData>
            </a:graphic>
          </wp:inline>
        </w:drawing>
      </w:r>
    </w:p>
    <w:p>
      <w:pPr>
        <w:pStyle w:val="33"/>
        <w:tabs>
          <w:tab w:val="clear" w:pos="567"/>
        </w:tabs>
        <w:spacing w:before="0" w:beforeLines="0" w:after="0" w:afterLines="0" w:line="360" w:lineRule="auto"/>
        <w:ind w:firstLine="420"/>
        <w:rPr>
          <w:rFonts w:ascii="仿宋" w:hAnsi="仿宋" w:eastAsia="仿宋"/>
          <w:b/>
          <w:bCs/>
        </w:rPr>
      </w:pPr>
      <w:r>
        <w:rPr>
          <w:rFonts w:ascii="仿宋" w:hAnsi="仿宋" w:eastAsia="仿宋"/>
          <w:b/>
          <w:bCs/>
        </w:rPr>
        <w:t>3</w:t>
      </w:r>
      <w:r>
        <w:rPr>
          <w:rFonts w:hint="eastAsia" w:ascii="仿宋" w:hAnsi="仿宋" w:eastAsia="仿宋"/>
          <w:b/>
          <w:bCs/>
        </w:rPr>
        <w:t>.细粒度数据资源鉴权体系</w:t>
      </w:r>
    </w:p>
    <w:p>
      <w:pPr>
        <w:spacing w:after="0" w:line="360" w:lineRule="auto"/>
        <w:ind w:firstLine="420"/>
        <w:rPr>
          <w:rFonts w:ascii="仿宋" w:hAnsi="仿宋" w:eastAsia="仿宋"/>
          <w:sz w:val="28"/>
          <w:szCs w:val="28"/>
        </w:rPr>
      </w:pPr>
      <w:r>
        <w:rPr>
          <w:rFonts w:hint="eastAsia" w:ascii="仿宋" w:hAnsi="仿宋" w:eastAsia="仿宋"/>
          <w:sz w:val="28"/>
          <w:szCs w:val="28"/>
        </w:rPr>
        <w:t>细粒度的用户、角色、组织架构及资产域管理，精确地控制不同用户和角色对数据安全中心及数据资产的管理权限，帮助集团建立更加清晰、高效的数据安全管理流实现工作职责的明确划分，提高数据安全治理效率。同时，合规的数据访问控制有助于降低集团因数据安全不合规而面临的法律风险和经济损失。</w:t>
      </w:r>
    </w:p>
    <w:p>
      <w:pPr>
        <w:spacing w:after="0" w:line="360" w:lineRule="auto"/>
        <w:rPr>
          <w:rFonts w:ascii="仿宋" w:hAnsi="仿宋" w:eastAsia="仿宋"/>
          <w:sz w:val="28"/>
          <w:szCs w:val="28"/>
        </w:rPr>
      </w:pPr>
      <w:r>
        <w:rPr>
          <w:rFonts w:ascii="腾讯体 W3" w:hAnsi="腾讯体 W3" w:eastAsia="腾讯体 W3"/>
          <w:b/>
          <w:sz w:val="22"/>
        </w:rPr>
        <w:drawing>
          <wp:inline distT="0" distB="0" distL="0" distR="0">
            <wp:extent cx="5600700" cy="3739515"/>
            <wp:effectExtent l="0" t="0" r="0" b="0"/>
            <wp:docPr id="1344545321" name="图片 134454532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45321" name="图片 1344545321" descr="日程表&#10;&#10;描述已自动生成"/>
                    <pic:cNvPicPr>
                      <a:picLocks noChangeAspect="1"/>
                    </pic:cNvPicPr>
                  </pic:nvPicPr>
                  <pic:blipFill>
                    <a:blip r:embed="rId25"/>
                    <a:stretch>
                      <a:fillRect/>
                    </a:stretch>
                  </pic:blipFill>
                  <pic:spPr>
                    <a:xfrm>
                      <a:off x="0" y="0"/>
                      <a:ext cx="5600700" cy="3739740"/>
                    </a:xfrm>
                    <a:prstGeom prst="rect">
                      <a:avLst/>
                    </a:prstGeom>
                  </pic:spPr>
                </pic:pic>
              </a:graphicData>
            </a:graphic>
          </wp:inline>
        </w:drawing>
      </w:r>
    </w:p>
    <w:p>
      <w:pPr>
        <w:pStyle w:val="33"/>
        <w:tabs>
          <w:tab w:val="clear" w:pos="567"/>
        </w:tabs>
        <w:spacing w:before="0" w:beforeLines="0" w:after="0" w:afterLines="0" w:line="360" w:lineRule="auto"/>
        <w:ind w:firstLine="420"/>
        <w:rPr>
          <w:rFonts w:ascii="仿宋" w:hAnsi="仿宋" w:eastAsia="仿宋"/>
          <w:b/>
          <w:bCs/>
        </w:rPr>
      </w:pPr>
      <w:r>
        <w:rPr>
          <w:rFonts w:ascii="仿宋" w:hAnsi="仿宋" w:eastAsia="仿宋"/>
          <w:b/>
          <w:bCs/>
        </w:rPr>
        <w:t>4</w:t>
      </w:r>
      <w:r>
        <w:rPr>
          <w:rFonts w:hint="eastAsia" w:ascii="仿宋" w:hAnsi="仿宋" w:eastAsia="仿宋"/>
          <w:b/>
          <w:bCs/>
        </w:rPr>
        <w:t>.企业微信的原生结合</w:t>
      </w:r>
    </w:p>
    <w:p>
      <w:pPr>
        <w:spacing w:after="0" w:line="360" w:lineRule="auto"/>
        <w:ind w:firstLine="420"/>
        <w:rPr>
          <w:rFonts w:ascii="仿宋" w:hAnsi="仿宋" w:eastAsia="仿宋"/>
          <w:sz w:val="28"/>
          <w:szCs w:val="28"/>
        </w:rPr>
      </w:pPr>
      <w:r>
        <w:rPr>
          <w:rFonts w:hint="eastAsia" w:ascii="仿宋" w:hAnsi="仿宋" w:eastAsia="仿宋"/>
          <w:sz w:val="28"/>
          <w:szCs w:val="28"/>
        </w:rPr>
        <w:t>改变传统以网络为基础的信任，通过与企业微信深度融合，建设以企微工作台应用为基础基于身份的信任机制。无差别对待从特定网络连接的用户，信任机制与其获得的服务和权限的高低无关；并针对用户的适度风险感知能力，全面过滤非法访问；同时实现动态访问控制，即所有对服务的访问行为必须经过认证、授权和加密处理。同时提供基于终端数据安全防护能力，包括但不限于敏感信息过滤、水印、防入侵等安全能力。</w:t>
      </w:r>
    </w:p>
    <w:p>
      <w:pPr>
        <w:spacing w:after="0" w:line="360" w:lineRule="auto"/>
        <w:rPr>
          <w:rFonts w:ascii="仿宋" w:hAnsi="仿宋" w:eastAsia="仿宋"/>
          <w:sz w:val="24"/>
          <w:szCs w:val="24"/>
        </w:rPr>
      </w:pPr>
    </w:p>
    <w:sectPr>
      <w:footerReference r:id="rId5" w:type="default"/>
      <w:pgSz w:w="11906" w:h="16838"/>
      <w:pgMar w:top="1440" w:right="1286"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decorative"/>
    <w:pitch w:val="default"/>
    <w:sig w:usb0="00000001" w:usb1="080E0000" w:usb2="00000000" w:usb3="00000000" w:csb0="00040000" w:csb1="00000000"/>
  </w:font>
  <w:font w:name="腾讯体 W3">
    <w:altName w:val="Microsoft YaHei UI"/>
    <w:panose1 w:val="020B0604020202020204"/>
    <w:charset w:val="86"/>
    <w:family w:val="swiss"/>
    <w:pitch w:val="default"/>
    <w:sig w:usb0="00000000" w:usb1="00000000"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6906424"/>
      <w:docPartObj>
        <w:docPartGallery w:val="autotext"/>
      </w:docPartObj>
    </w:sdtPr>
    <w:sdtContent>
      <w:sdt>
        <w:sdtPr>
          <w:id w:val="1728636285"/>
          <w:docPartObj>
            <w:docPartGallery w:val="autotext"/>
          </w:docPartObj>
        </w:sdtPr>
        <w:sdtContent>
          <w:p>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DA052"/>
    <w:multiLevelType w:val="singleLevel"/>
    <w:tmpl w:val="A5CDA052"/>
    <w:lvl w:ilvl="0" w:tentative="0">
      <w:start w:val="1"/>
      <w:numFmt w:val="chineseCounting"/>
      <w:pStyle w:val="34"/>
      <w:suff w:val="nothing"/>
      <w:lvlText w:val="%1、"/>
      <w:lvlJc w:val="left"/>
      <w:rPr>
        <w:rFonts w:hint="eastAsia"/>
        <w:lang w:val="en-US"/>
      </w:rPr>
    </w:lvl>
  </w:abstractNum>
  <w:abstractNum w:abstractNumId="1">
    <w:nsid w:val="10AA6D6C"/>
    <w:multiLevelType w:val="multilevel"/>
    <w:tmpl w:val="10AA6D6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801C27"/>
    <w:multiLevelType w:val="multilevel"/>
    <w:tmpl w:val="1C801C27"/>
    <w:lvl w:ilvl="0" w:tentative="0">
      <w:start w:val="1"/>
      <w:numFmt w:val="chineseCounting"/>
      <w:lvlText w:val="%1、"/>
      <w:lvlJc w:val="left"/>
      <w:pPr>
        <w:ind w:left="420" w:hanging="420"/>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20230C5A"/>
    <w:multiLevelType w:val="multilevel"/>
    <w:tmpl w:val="20230C5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2D9018E4"/>
    <w:multiLevelType w:val="multilevel"/>
    <w:tmpl w:val="2D9018E4"/>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2EC906E3"/>
    <w:multiLevelType w:val="multilevel"/>
    <w:tmpl w:val="2EC906E3"/>
    <w:lvl w:ilvl="0" w:tentative="0">
      <w:start w:val="1"/>
      <w:numFmt w:val="decimal"/>
      <w:lvlText w:val="%1)"/>
      <w:lvlJc w:val="left"/>
      <w:pPr>
        <w:ind w:left="842" w:hanging="420"/>
      </w:pPr>
    </w:lvl>
    <w:lvl w:ilvl="1" w:tentative="0">
      <w:start w:val="1"/>
      <w:numFmt w:val="decimal"/>
      <w:lvlText w:val="（%2）"/>
      <w:lvlJc w:val="left"/>
      <w:pPr>
        <w:ind w:left="1682" w:hanging="840"/>
      </w:pPr>
      <w:rPr>
        <w:rFonts w:hint="default"/>
      </w:rPr>
    </w:lvl>
    <w:lvl w:ilvl="2" w:tentative="0">
      <w:start w:val="1"/>
      <w:numFmt w:val="japaneseCounting"/>
      <w:lvlText w:val="%3、"/>
      <w:lvlJc w:val="left"/>
      <w:pPr>
        <w:ind w:left="1742" w:hanging="480"/>
      </w:pPr>
      <w:rPr>
        <w:rFonts w:hint="default"/>
      </w:r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5A733B8F"/>
    <w:multiLevelType w:val="multilevel"/>
    <w:tmpl w:val="5A733B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2"/>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1YzZkNjc3MWE5YmYxYzdjY2ViMzc4NjBlZmQ4YzIifQ=="/>
  </w:docVars>
  <w:rsids>
    <w:rsidRoot w:val="4B87063D"/>
    <w:rsid w:val="00011128"/>
    <w:rsid w:val="00056D51"/>
    <w:rsid w:val="00057135"/>
    <w:rsid w:val="00067728"/>
    <w:rsid w:val="000A37EC"/>
    <w:rsid w:val="000B171E"/>
    <w:rsid w:val="0012121E"/>
    <w:rsid w:val="00145924"/>
    <w:rsid w:val="0017661F"/>
    <w:rsid w:val="00192DBA"/>
    <w:rsid w:val="0019730A"/>
    <w:rsid w:val="001C7EBD"/>
    <w:rsid w:val="001E0F49"/>
    <w:rsid w:val="001F1F41"/>
    <w:rsid w:val="00224937"/>
    <w:rsid w:val="00232F19"/>
    <w:rsid w:val="00234A6A"/>
    <w:rsid w:val="00234ADE"/>
    <w:rsid w:val="00234D4E"/>
    <w:rsid w:val="00250FCC"/>
    <w:rsid w:val="00255330"/>
    <w:rsid w:val="00256EEC"/>
    <w:rsid w:val="00286228"/>
    <w:rsid w:val="00295A57"/>
    <w:rsid w:val="002C0665"/>
    <w:rsid w:val="002D0CC3"/>
    <w:rsid w:val="002D50E3"/>
    <w:rsid w:val="002E7487"/>
    <w:rsid w:val="00305D74"/>
    <w:rsid w:val="00306504"/>
    <w:rsid w:val="00382698"/>
    <w:rsid w:val="003911C9"/>
    <w:rsid w:val="00395D79"/>
    <w:rsid w:val="003A3374"/>
    <w:rsid w:val="00413D16"/>
    <w:rsid w:val="00450A5C"/>
    <w:rsid w:val="00481059"/>
    <w:rsid w:val="00486EF4"/>
    <w:rsid w:val="004B6D0A"/>
    <w:rsid w:val="004D505C"/>
    <w:rsid w:val="004E48DD"/>
    <w:rsid w:val="00560782"/>
    <w:rsid w:val="005737C6"/>
    <w:rsid w:val="005B23B8"/>
    <w:rsid w:val="005B64D4"/>
    <w:rsid w:val="005D0E7B"/>
    <w:rsid w:val="005D4734"/>
    <w:rsid w:val="005D6089"/>
    <w:rsid w:val="00607BE2"/>
    <w:rsid w:val="00665261"/>
    <w:rsid w:val="006976DD"/>
    <w:rsid w:val="006A1EF0"/>
    <w:rsid w:val="006A4AF1"/>
    <w:rsid w:val="006A7D42"/>
    <w:rsid w:val="006B1EA8"/>
    <w:rsid w:val="006C5EEC"/>
    <w:rsid w:val="006F6B53"/>
    <w:rsid w:val="00701293"/>
    <w:rsid w:val="00701CCF"/>
    <w:rsid w:val="00746CFB"/>
    <w:rsid w:val="007662F0"/>
    <w:rsid w:val="007723B5"/>
    <w:rsid w:val="007C3FCC"/>
    <w:rsid w:val="007F0E66"/>
    <w:rsid w:val="007F4E78"/>
    <w:rsid w:val="007F68A2"/>
    <w:rsid w:val="00815616"/>
    <w:rsid w:val="00816B93"/>
    <w:rsid w:val="008223D9"/>
    <w:rsid w:val="0083665E"/>
    <w:rsid w:val="00847D1F"/>
    <w:rsid w:val="008566A0"/>
    <w:rsid w:val="008815E9"/>
    <w:rsid w:val="008A1571"/>
    <w:rsid w:val="008D3760"/>
    <w:rsid w:val="008F6434"/>
    <w:rsid w:val="00900E99"/>
    <w:rsid w:val="00902535"/>
    <w:rsid w:val="00904630"/>
    <w:rsid w:val="00907F3D"/>
    <w:rsid w:val="00925D84"/>
    <w:rsid w:val="00931AB5"/>
    <w:rsid w:val="00950910"/>
    <w:rsid w:val="009654DE"/>
    <w:rsid w:val="00967942"/>
    <w:rsid w:val="0097118B"/>
    <w:rsid w:val="00974A60"/>
    <w:rsid w:val="009B5318"/>
    <w:rsid w:val="009D13A3"/>
    <w:rsid w:val="00A0321F"/>
    <w:rsid w:val="00A14908"/>
    <w:rsid w:val="00A237CD"/>
    <w:rsid w:val="00A23EC6"/>
    <w:rsid w:val="00A30927"/>
    <w:rsid w:val="00A517AA"/>
    <w:rsid w:val="00A54BA0"/>
    <w:rsid w:val="00A95428"/>
    <w:rsid w:val="00AE123B"/>
    <w:rsid w:val="00B06129"/>
    <w:rsid w:val="00B438E5"/>
    <w:rsid w:val="00B439D6"/>
    <w:rsid w:val="00B51802"/>
    <w:rsid w:val="00B52160"/>
    <w:rsid w:val="00B70D5E"/>
    <w:rsid w:val="00B86E57"/>
    <w:rsid w:val="00BF0566"/>
    <w:rsid w:val="00C03ECD"/>
    <w:rsid w:val="00C04607"/>
    <w:rsid w:val="00C11C67"/>
    <w:rsid w:val="00C404F2"/>
    <w:rsid w:val="00C85ECB"/>
    <w:rsid w:val="00C865B4"/>
    <w:rsid w:val="00CD2C2F"/>
    <w:rsid w:val="00CD560E"/>
    <w:rsid w:val="00CF7E3F"/>
    <w:rsid w:val="00D048AD"/>
    <w:rsid w:val="00D11A5A"/>
    <w:rsid w:val="00D24377"/>
    <w:rsid w:val="00D90654"/>
    <w:rsid w:val="00DA2097"/>
    <w:rsid w:val="00DA2AD2"/>
    <w:rsid w:val="00DA735E"/>
    <w:rsid w:val="00DD5C85"/>
    <w:rsid w:val="00DD64AF"/>
    <w:rsid w:val="00DF7B4D"/>
    <w:rsid w:val="00E0418A"/>
    <w:rsid w:val="00E330BB"/>
    <w:rsid w:val="00E41368"/>
    <w:rsid w:val="00E4207E"/>
    <w:rsid w:val="00E7236F"/>
    <w:rsid w:val="00EA0BCF"/>
    <w:rsid w:val="00EA549D"/>
    <w:rsid w:val="00EB1402"/>
    <w:rsid w:val="00EC3F23"/>
    <w:rsid w:val="00ED2B83"/>
    <w:rsid w:val="00EE07F3"/>
    <w:rsid w:val="00F2412E"/>
    <w:rsid w:val="00F25C11"/>
    <w:rsid w:val="00F367CA"/>
    <w:rsid w:val="00F44A82"/>
    <w:rsid w:val="00F4738B"/>
    <w:rsid w:val="00F9220E"/>
    <w:rsid w:val="00F96268"/>
    <w:rsid w:val="00FD1C41"/>
    <w:rsid w:val="00FF14C3"/>
    <w:rsid w:val="00FF1EC9"/>
    <w:rsid w:val="00FF6576"/>
    <w:rsid w:val="01554DAA"/>
    <w:rsid w:val="028C0059"/>
    <w:rsid w:val="030C0132"/>
    <w:rsid w:val="03FB6160"/>
    <w:rsid w:val="04856235"/>
    <w:rsid w:val="05393B98"/>
    <w:rsid w:val="070012AF"/>
    <w:rsid w:val="07D209D0"/>
    <w:rsid w:val="083C288D"/>
    <w:rsid w:val="09B90B6B"/>
    <w:rsid w:val="0B63705E"/>
    <w:rsid w:val="0CC80F8F"/>
    <w:rsid w:val="0CED076B"/>
    <w:rsid w:val="0DCF61DA"/>
    <w:rsid w:val="0F3123E7"/>
    <w:rsid w:val="128C5353"/>
    <w:rsid w:val="143212F6"/>
    <w:rsid w:val="181F2E94"/>
    <w:rsid w:val="184579F3"/>
    <w:rsid w:val="188F374E"/>
    <w:rsid w:val="1BF70114"/>
    <w:rsid w:val="1C585E5C"/>
    <w:rsid w:val="1C956E60"/>
    <w:rsid w:val="1E015A03"/>
    <w:rsid w:val="1FDE60DE"/>
    <w:rsid w:val="21764D13"/>
    <w:rsid w:val="21BC4594"/>
    <w:rsid w:val="2280675B"/>
    <w:rsid w:val="22942E87"/>
    <w:rsid w:val="22AD545C"/>
    <w:rsid w:val="25A7207D"/>
    <w:rsid w:val="26C35A6F"/>
    <w:rsid w:val="279543B6"/>
    <w:rsid w:val="28841455"/>
    <w:rsid w:val="288D7367"/>
    <w:rsid w:val="2DE12009"/>
    <w:rsid w:val="2E3E22B4"/>
    <w:rsid w:val="2E7F50B7"/>
    <w:rsid w:val="305B5DAE"/>
    <w:rsid w:val="31DC27E8"/>
    <w:rsid w:val="32643FEC"/>
    <w:rsid w:val="328D0752"/>
    <w:rsid w:val="33154263"/>
    <w:rsid w:val="35067168"/>
    <w:rsid w:val="35121CAC"/>
    <w:rsid w:val="352F2ACA"/>
    <w:rsid w:val="35C3380B"/>
    <w:rsid w:val="35DE73C9"/>
    <w:rsid w:val="35FA579F"/>
    <w:rsid w:val="375E625D"/>
    <w:rsid w:val="376F4D8A"/>
    <w:rsid w:val="39B76715"/>
    <w:rsid w:val="3B8A6946"/>
    <w:rsid w:val="3B8C36B8"/>
    <w:rsid w:val="3C5D02CA"/>
    <w:rsid w:val="3F556250"/>
    <w:rsid w:val="40E83055"/>
    <w:rsid w:val="41CC0ACD"/>
    <w:rsid w:val="42062527"/>
    <w:rsid w:val="42893869"/>
    <w:rsid w:val="437F0A43"/>
    <w:rsid w:val="44D34B92"/>
    <w:rsid w:val="45387A7D"/>
    <w:rsid w:val="4551068D"/>
    <w:rsid w:val="45D461DA"/>
    <w:rsid w:val="47191FE5"/>
    <w:rsid w:val="482F4BE5"/>
    <w:rsid w:val="4A7963D4"/>
    <w:rsid w:val="4B87063D"/>
    <w:rsid w:val="4BB13A54"/>
    <w:rsid w:val="4C121562"/>
    <w:rsid w:val="4DE2535D"/>
    <w:rsid w:val="50F45258"/>
    <w:rsid w:val="51475A23"/>
    <w:rsid w:val="532D575C"/>
    <w:rsid w:val="53792773"/>
    <w:rsid w:val="569F67EB"/>
    <w:rsid w:val="5C1A7BB7"/>
    <w:rsid w:val="5C6E5FE4"/>
    <w:rsid w:val="5C730D6E"/>
    <w:rsid w:val="5D3C6996"/>
    <w:rsid w:val="5F8D7605"/>
    <w:rsid w:val="611C246A"/>
    <w:rsid w:val="637507B4"/>
    <w:rsid w:val="63906D6B"/>
    <w:rsid w:val="63F66B69"/>
    <w:rsid w:val="64963800"/>
    <w:rsid w:val="64E94637"/>
    <w:rsid w:val="68A5522C"/>
    <w:rsid w:val="690150E5"/>
    <w:rsid w:val="698A1C82"/>
    <w:rsid w:val="6A154384"/>
    <w:rsid w:val="6D535020"/>
    <w:rsid w:val="6FC80245"/>
    <w:rsid w:val="70903872"/>
    <w:rsid w:val="7199433B"/>
    <w:rsid w:val="71A45FDA"/>
    <w:rsid w:val="72761A8C"/>
    <w:rsid w:val="741C0302"/>
    <w:rsid w:val="74B83721"/>
    <w:rsid w:val="75744CEE"/>
    <w:rsid w:val="775C35F1"/>
    <w:rsid w:val="779C69ED"/>
    <w:rsid w:val="78CA2834"/>
    <w:rsid w:val="790C3EFB"/>
    <w:rsid w:val="794726B1"/>
    <w:rsid w:val="7A0D575B"/>
    <w:rsid w:val="7AB61502"/>
    <w:rsid w:val="7ADC4002"/>
    <w:rsid w:val="7B503519"/>
    <w:rsid w:val="7BFB52C9"/>
    <w:rsid w:val="7E1646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Theme="minorHAnsi" w:hAnsiTheme="minorHAnsi" w:eastAsiaTheme="minorEastAsia" w:cstheme="minorBidi"/>
      <w:lang w:val="en-US" w:eastAsia="zh-CN" w:bidi="ar-SA"/>
    </w:rPr>
  </w:style>
  <w:style w:type="paragraph" w:styleId="2">
    <w:name w:val="heading 1"/>
    <w:basedOn w:val="1"/>
    <w:next w:val="1"/>
    <w:link w:val="37"/>
    <w:qFormat/>
    <w:uiPriority w:val="9"/>
    <w:pPr>
      <w:numPr>
        <w:ilvl w:val="0"/>
        <w:numId w:val="1"/>
      </w:numPr>
      <w:spacing w:before="300" w:after="40"/>
      <w:jc w:val="left"/>
      <w:outlineLvl w:val="0"/>
    </w:pPr>
    <w:rPr>
      <w:smallCaps/>
      <w:spacing w:val="5"/>
      <w:sz w:val="32"/>
      <w:szCs w:val="32"/>
    </w:rPr>
  </w:style>
  <w:style w:type="paragraph" w:styleId="3">
    <w:name w:val="heading 2"/>
    <w:basedOn w:val="1"/>
    <w:next w:val="1"/>
    <w:link w:val="36"/>
    <w:unhideWhenUsed/>
    <w:qFormat/>
    <w:uiPriority w:val="9"/>
    <w:pPr>
      <w:numPr>
        <w:ilvl w:val="1"/>
        <w:numId w:val="1"/>
      </w:numPr>
      <w:spacing w:before="240" w:after="80"/>
      <w:jc w:val="left"/>
      <w:outlineLvl w:val="1"/>
    </w:pPr>
    <w:rPr>
      <w:smallCaps/>
      <w:spacing w:val="5"/>
      <w:sz w:val="28"/>
      <w:szCs w:val="28"/>
    </w:rPr>
  </w:style>
  <w:style w:type="paragraph" w:styleId="4">
    <w:name w:val="heading 3"/>
    <w:basedOn w:val="1"/>
    <w:next w:val="1"/>
    <w:link w:val="35"/>
    <w:unhideWhenUsed/>
    <w:qFormat/>
    <w:uiPriority w:val="9"/>
    <w:pPr>
      <w:numPr>
        <w:ilvl w:val="2"/>
        <w:numId w:val="1"/>
      </w:numPr>
      <w:spacing w:after="0"/>
      <w:jc w:val="left"/>
      <w:outlineLvl w:val="2"/>
    </w:pPr>
    <w:rPr>
      <w:smallCaps/>
      <w:spacing w:val="5"/>
      <w:sz w:val="24"/>
      <w:szCs w:val="24"/>
    </w:rPr>
  </w:style>
  <w:style w:type="paragraph" w:styleId="5">
    <w:name w:val="heading 4"/>
    <w:basedOn w:val="1"/>
    <w:next w:val="1"/>
    <w:link w:val="38"/>
    <w:semiHidden/>
    <w:unhideWhenUsed/>
    <w:qFormat/>
    <w:uiPriority w:val="9"/>
    <w:pPr>
      <w:numPr>
        <w:ilvl w:val="3"/>
        <w:numId w:val="1"/>
      </w:numPr>
      <w:spacing w:before="240" w:after="0"/>
      <w:jc w:val="left"/>
      <w:outlineLvl w:val="3"/>
    </w:pPr>
    <w:rPr>
      <w:smallCaps/>
      <w:spacing w:val="10"/>
      <w:sz w:val="22"/>
      <w:szCs w:val="22"/>
    </w:rPr>
  </w:style>
  <w:style w:type="paragraph" w:styleId="6">
    <w:name w:val="heading 5"/>
    <w:basedOn w:val="1"/>
    <w:next w:val="1"/>
    <w:link w:val="39"/>
    <w:semiHidden/>
    <w:unhideWhenUsed/>
    <w:qFormat/>
    <w:uiPriority w:val="9"/>
    <w:pPr>
      <w:numPr>
        <w:ilvl w:val="4"/>
        <w:numId w:val="1"/>
      </w:numPr>
      <w:spacing w:before="200" w:after="0"/>
      <w:jc w:val="left"/>
      <w:outlineLvl w:val="4"/>
    </w:pPr>
    <w:rPr>
      <w:smallCaps/>
      <w:color w:val="C55A11" w:themeColor="accent2" w:themeShade="BF"/>
      <w:spacing w:val="10"/>
      <w:sz w:val="22"/>
      <w:szCs w:val="26"/>
    </w:rPr>
  </w:style>
  <w:style w:type="paragraph" w:styleId="7">
    <w:name w:val="heading 6"/>
    <w:basedOn w:val="1"/>
    <w:next w:val="1"/>
    <w:link w:val="40"/>
    <w:semiHidden/>
    <w:unhideWhenUsed/>
    <w:qFormat/>
    <w:uiPriority w:val="9"/>
    <w:pPr>
      <w:numPr>
        <w:ilvl w:val="5"/>
        <w:numId w:val="1"/>
      </w:numPr>
      <w:spacing w:after="0"/>
      <w:jc w:val="left"/>
      <w:outlineLvl w:val="5"/>
    </w:pPr>
    <w:rPr>
      <w:smallCaps/>
      <w:color w:val="ED7D31" w:themeColor="accent2"/>
      <w:spacing w:val="5"/>
      <w:sz w:val="22"/>
      <w14:textFill>
        <w14:solidFill>
          <w14:schemeClr w14:val="accent2"/>
        </w14:solidFill>
      </w14:textFill>
    </w:rPr>
  </w:style>
  <w:style w:type="paragraph" w:styleId="8">
    <w:name w:val="heading 7"/>
    <w:basedOn w:val="1"/>
    <w:next w:val="1"/>
    <w:link w:val="41"/>
    <w:semiHidden/>
    <w:unhideWhenUsed/>
    <w:qFormat/>
    <w:uiPriority w:val="9"/>
    <w:pPr>
      <w:numPr>
        <w:ilvl w:val="6"/>
        <w:numId w:val="1"/>
      </w:numPr>
      <w:spacing w:after="0"/>
      <w:jc w:val="left"/>
      <w:outlineLvl w:val="6"/>
    </w:pPr>
    <w:rPr>
      <w:b/>
      <w:smallCaps/>
      <w:color w:val="ED7D31" w:themeColor="accent2"/>
      <w:spacing w:val="10"/>
      <w14:textFill>
        <w14:solidFill>
          <w14:schemeClr w14:val="accent2"/>
        </w14:solidFill>
      </w14:textFill>
    </w:rPr>
  </w:style>
  <w:style w:type="paragraph" w:styleId="9">
    <w:name w:val="heading 8"/>
    <w:basedOn w:val="1"/>
    <w:next w:val="1"/>
    <w:link w:val="42"/>
    <w:semiHidden/>
    <w:unhideWhenUsed/>
    <w:qFormat/>
    <w:uiPriority w:val="9"/>
    <w:pPr>
      <w:numPr>
        <w:ilvl w:val="7"/>
        <w:numId w:val="1"/>
      </w:numPr>
      <w:spacing w:after="0"/>
      <w:jc w:val="left"/>
      <w:outlineLvl w:val="7"/>
    </w:pPr>
    <w:rPr>
      <w:b/>
      <w:i/>
      <w:smallCaps/>
      <w:color w:val="C55A11" w:themeColor="accent2" w:themeShade="BF"/>
    </w:rPr>
  </w:style>
  <w:style w:type="paragraph" w:styleId="10">
    <w:name w:val="heading 9"/>
    <w:basedOn w:val="1"/>
    <w:next w:val="1"/>
    <w:link w:val="43"/>
    <w:semiHidden/>
    <w:unhideWhenUsed/>
    <w:qFormat/>
    <w:uiPriority w:val="9"/>
    <w:pPr>
      <w:numPr>
        <w:ilvl w:val="8"/>
        <w:numId w:val="1"/>
      </w:numPr>
      <w:spacing w:after="0"/>
      <w:jc w:val="left"/>
      <w:outlineLvl w:val="8"/>
    </w:pPr>
    <w:rPr>
      <w:b/>
      <w:i/>
      <w:smallCaps/>
      <w:color w:val="843C0B" w:themeColor="accent2" w:themeShade="8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aps/>
      <w:sz w:val="16"/>
      <w:szCs w:val="18"/>
    </w:rPr>
  </w:style>
  <w:style w:type="paragraph" w:styleId="12">
    <w:name w:val="annotation text"/>
    <w:basedOn w:val="1"/>
    <w:link w:val="58"/>
    <w:semiHidden/>
    <w:unhideWhenUsed/>
    <w:qFormat/>
    <w:uiPriority w:val="0"/>
    <w:pPr>
      <w:jc w:val="left"/>
    </w:pPr>
  </w:style>
  <w:style w:type="paragraph" w:styleId="13">
    <w:name w:val="Balloon Text"/>
    <w:basedOn w:val="1"/>
    <w:link w:val="28"/>
    <w:qFormat/>
    <w:uiPriority w:val="0"/>
    <w:rPr>
      <w:sz w:val="18"/>
      <w:szCs w:val="18"/>
    </w:rPr>
  </w:style>
  <w:style w:type="paragraph" w:styleId="14">
    <w:name w:val="footer"/>
    <w:basedOn w:val="1"/>
    <w:link w:val="27"/>
    <w:qFormat/>
    <w:uiPriority w:val="99"/>
    <w:pPr>
      <w:tabs>
        <w:tab w:val="center" w:pos="4153"/>
        <w:tab w:val="right" w:pos="8306"/>
      </w:tabs>
      <w:snapToGrid w:val="0"/>
      <w:jc w:val="left"/>
    </w:pPr>
    <w:rPr>
      <w:sz w:val="18"/>
      <w:szCs w:val="18"/>
    </w:rPr>
  </w:style>
  <w:style w:type="paragraph" w:styleId="15">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link w:val="45"/>
    <w:qFormat/>
    <w:uiPriority w:val="11"/>
    <w:pPr>
      <w:spacing w:after="720" w:line="240" w:lineRule="auto"/>
      <w:jc w:val="right"/>
    </w:pPr>
    <w:rPr>
      <w:rFonts w:asciiTheme="majorHAnsi" w:hAnsiTheme="majorHAnsi" w:eastAsiaTheme="majorEastAsia" w:cstheme="majorBidi"/>
      <w:szCs w:val="22"/>
    </w:rPr>
  </w:style>
  <w:style w:type="paragraph" w:styleId="17">
    <w:name w:val="Title"/>
    <w:basedOn w:val="1"/>
    <w:next w:val="1"/>
    <w:link w:val="44"/>
    <w:qFormat/>
    <w:uiPriority w:val="10"/>
    <w:pPr>
      <w:pBdr>
        <w:top w:val="single" w:color="ED7D31" w:themeColor="accent2" w:sz="12" w:space="1"/>
      </w:pBdr>
      <w:spacing w:line="240" w:lineRule="auto"/>
      <w:jc w:val="right"/>
    </w:pPr>
    <w:rPr>
      <w:smallCaps/>
      <w:sz w:val="48"/>
      <w:szCs w:val="48"/>
    </w:rPr>
  </w:style>
  <w:style w:type="paragraph" w:styleId="18">
    <w:name w:val="annotation subject"/>
    <w:basedOn w:val="12"/>
    <w:next w:val="12"/>
    <w:link w:val="59"/>
    <w:semiHidden/>
    <w:unhideWhenUsed/>
    <w:qFormat/>
    <w:uiPriority w:val="0"/>
    <w:rPr>
      <w:b/>
      <w:bCs/>
    </w:rPr>
  </w:style>
  <w:style w:type="table" w:styleId="20">
    <w:name w:val="Table Grid"/>
    <w:basedOn w:val="19"/>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color w:val="ED7D31" w:themeColor="accent2"/>
      <w14:textFill>
        <w14:solidFill>
          <w14:schemeClr w14:val="accent2"/>
        </w14:solidFill>
      </w14:textFill>
    </w:rPr>
  </w:style>
  <w:style w:type="character" w:styleId="23">
    <w:name w:val="Emphasis"/>
    <w:qFormat/>
    <w:uiPriority w:val="20"/>
    <w:rPr>
      <w:b/>
      <w:i/>
      <w:spacing w:val="10"/>
    </w:rPr>
  </w:style>
  <w:style w:type="character" w:styleId="24">
    <w:name w:val="annotation reference"/>
    <w:basedOn w:val="21"/>
    <w:semiHidden/>
    <w:unhideWhenUsed/>
    <w:qFormat/>
    <w:uiPriority w:val="0"/>
    <w:rPr>
      <w:sz w:val="21"/>
      <w:szCs w:val="21"/>
    </w:rPr>
  </w:style>
  <w:style w:type="paragraph" w:customStyle="1" w:styleId="25">
    <w:name w:val="投标正文1"/>
    <w:basedOn w:val="1"/>
    <w:qFormat/>
    <w:uiPriority w:val="0"/>
    <w:pPr>
      <w:spacing w:line="360" w:lineRule="auto"/>
      <w:ind w:firstLine="480" w:firstLineChars="200"/>
    </w:pPr>
    <w:rPr>
      <w:rFonts w:cs="Times New Roman"/>
      <w:lang w:val="zh-CN"/>
    </w:rPr>
  </w:style>
  <w:style w:type="character" w:customStyle="1" w:styleId="26">
    <w:name w:val="页眉 字符"/>
    <w:basedOn w:val="21"/>
    <w:link w:val="15"/>
    <w:qFormat/>
    <w:uiPriority w:val="0"/>
    <w:rPr>
      <w:kern w:val="2"/>
      <w:sz w:val="18"/>
      <w:szCs w:val="18"/>
    </w:rPr>
  </w:style>
  <w:style w:type="character" w:customStyle="1" w:styleId="27">
    <w:name w:val="页脚 字符"/>
    <w:basedOn w:val="21"/>
    <w:link w:val="14"/>
    <w:qFormat/>
    <w:uiPriority w:val="99"/>
    <w:rPr>
      <w:kern w:val="2"/>
      <w:sz w:val="18"/>
      <w:szCs w:val="18"/>
    </w:rPr>
  </w:style>
  <w:style w:type="character" w:customStyle="1" w:styleId="28">
    <w:name w:val="批注框文本 字符"/>
    <w:basedOn w:val="21"/>
    <w:link w:val="13"/>
    <w:qFormat/>
    <w:uiPriority w:val="0"/>
    <w:rPr>
      <w:kern w:val="2"/>
      <w:sz w:val="18"/>
      <w:szCs w:val="18"/>
    </w:rPr>
  </w:style>
  <w:style w:type="paragraph" w:styleId="29">
    <w:name w:val="List Paragraph"/>
    <w:basedOn w:val="1"/>
    <w:qFormat/>
    <w:uiPriority w:val="99"/>
    <w:pPr>
      <w:ind w:left="720"/>
      <w:contextualSpacing/>
    </w:pPr>
  </w:style>
  <w:style w:type="character" w:customStyle="1" w:styleId="30">
    <w:name w:val="SANGFOR_6_正文 Char"/>
    <w:link w:val="31"/>
    <w:qFormat/>
    <w:uiPriority w:val="0"/>
    <w:rPr>
      <w:rFonts w:ascii="微软雅黑" w:hAnsi="微软雅黑" w:eastAsia="微软雅黑"/>
      <w:kern w:val="2"/>
      <w:sz w:val="21"/>
      <w:szCs w:val="24"/>
    </w:rPr>
  </w:style>
  <w:style w:type="paragraph" w:customStyle="1" w:styleId="31">
    <w:name w:val="SANGFOR_6_正文"/>
    <w:basedOn w:val="1"/>
    <w:link w:val="30"/>
    <w:qFormat/>
    <w:uiPriority w:val="0"/>
    <w:pPr>
      <w:spacing w:line="360" w:lineRule="auto"/>
      <w:jc w:val="left"/>
    </w:pPr>
    <w:rPr>
      <w:rFonts w:ascii="微软雅黑" w:hAnsi="微软雅黑" w:eastAsia="微软雅黑"/>
      <w:szCs w:val="24"/>
    </w:rPr>
  </w:style>
  <w:style w:type="paragraph" w:customStyle="1" w:styleId="32">
    <w:name w:val="SANGFOR_3_标题3"/>
    <w:basedOn w:val="4"/>
    <w:next w:val="31"/>
    <w:qFormat/>
    <w:uiPriority w:val="0"/>
    <w:pPr>
      <w:numPr>
        <w:ilvl w:val="0"/>
        <w:numId w:val="0"/>
      </w:numPr>
      <w:tabs>
        <w:tab w:val="left" w:pos="567"/>
      </w:tabs>
      <w:spacing w:before="156" w:beforeLines="50" w:after="156" w:afterLines="50" w:line="240" w:lineRule="auto"/>
    </w:pPr>
    <w:rPr>
      <w:rFonts w:ascii="微软雅黑" w:hAnsi="微软雅黑" w:eastAsia="微软雅黑" w:cs="Times New Roman"/>
      <w:sz w:val="28"/>
      <w:szCs w:val="28"/>
    </w:rPr>
  </w:style>
  <w:style w:type="paragraph" w:customStyle="1" w:styleId="33">
    <w:name w:val="SANGFOR_2_标题2"/>
    <w:basedOn w:val="3"/>
    <w:next w:val="31"/>
    <w:qFormat/>
    <w:uiPriority w:val="0"/>
    <w:pPr>
      <w:numPr>
        <w:ilvl w:val="0"/>
        <w:numId w:val="0"/>
      </w:numPr>
      <w:tabs>
        <w:tab w:val="left" w:pos="567"/>
      </w:tabs>
      <w:spacing w:before="156" w:beforeLines="50" w:after="156" w:afterLines="50" w:line="240" w:lineRule="auto"/>
    </w:pPr>
    <w:rPr>
      <w:rFonts w:ascii="Times New Roman" w:hAnsi="Times New Roman" w:eastAsia="宋体" w:cs="Times New Roman"/>
      <w:sz w:val="30"/>
      <w:szCs w:val="30"/>
    </w:rPr>
  </w:style>
  <w:style w:type="paragraph" w:customStyle="1" w:styleId="34">
    <w:name w:val="SANGFOR_1_标题1"/>
    <w:basedOn w:val="2"/>
    <w:next w:val="31"/>
    <w:qFormat/>
    <w:uiPriority w:val="0"/>
    <w:pPr>
      <w:numPr>
        <w:numId w:val="2"/>
      </w:numPr>
      <w:tabs>
        <w:tab w:val="left" w:pos="1560"/>
      </w:tabs>
      <w:spacing w:before="468" w:beforeLines="150" w:after="156" w:afterLines="50" w:line="240" w:lineRule="auto"/>
    </w:pPr>
    <w:rPr>
      <w:rFonts w:ascii="微软雅黑" w:hAnsi="微软雅黑" w:eastAsia="微软雅黑" w:cs="Times New Roman"/>
      <w:bCs/>
    </w:rPr>
  </w:style>
  <w:style w:type="character" w:customStyle="1" w:styleId="35">
    <w:name w:val="标题 3 字符"/>
    <w:basedOn w:val="21"/>
    <w:link w:val="4"/>
    <w:qFormat/>
    <w:uiPriority w:val="9"/>
    <w:rPr>
      <w:smallCaps/>
      <w:spacing w:val="5"/>
      <w:sz w:val="24"/>
      <w:szCs w:val="24"/>
    </w:rPr>
  </w:style>
  <w:style w:type="character" w:customStyle="1" w:styleId="36">
    <w:name w:val="标题 2 字符"/>
    <w:basedOn w:val="21"/>
    <w:link w:val="3"/>
    <w:qFormat/>
    <w:uiPriority w:val="9"/>
    <w:rPr>
      <w:smallCaps/>
      <w:spacing w:val="5"/>
      <w:sz w:val="28"/>
      <w:szCs w:val="28"/>
    </w:rPr>
  </w:style>
  <w:style w:type="character" w:customStyle="1" w:styleId="37">
    <w:name w:val="标题 1 字符"/>
    <w:basedOn w:val="21"/>
    <w:link w:val="2"/>
    <w:qFormat/>
    <w:uiPriority w:val="9"/>
    <w:rPr>
      <w:smallCaps/>
      <w:spacing w:val="5"/>
      <w:sz w:val="32"/>
      <w:szCs w:val="32"/>
    </w:rPr>
  </w:style>
  <w:style w:type="character" w:customStyle="1" w:styleId="38">
    <w:name w:val="标题 4 字符"/>
    <w:basedOn w:val="21"/>
    <w:link w:val="5"/>
    <w:semiHidden/>
    <w:qFormat/>
    <w:uiPriority w:val="9"/>
    <w:rPr>
      <w:smallCaps/>
      <w:spacing w:val="10"/>
      <w:sz w:val="22"/>
      <w:szCs w:val="22"/>
    </w:rPr>
  </w:style>
  <w:style w:type="character" w:customStyle="1" w:styleId="39">
    <w:name w:val="标题 5 字符"/>
    <w:basedOn w:val="21"/>
    <w:link w:val="6"/>
    <w:semiHidden/>
    <w:qFormat/>
    <w:uiPriority w:val="9"/>
    <w:rPr>
      <w:smallCaps/>
      <w:color w:val="C55A11" w:themeColor="accent2" w:themeShade="BF"/>
      <w:spacing w:val="10"/>
      <w:sz w:val="22"/>
      <w:szCs w:val="26"/>
    </w:rPr>
  </w:style>
  <w:style w:type="character" w:customStyle="1" w:styleId="40">
    <w:name w:val="标题 6 字符"/>
    <w:basedOn w:val="21"/>
    <w:link w:val="7"/>
    <w:semiHidden/>
    <w:qFormat/>
    <w:uiPriority w:val="9"/>
    <w:rPr>
      <w:smallCaps/>
      <w:color w:val="ED7D31" w:themeColor="accent2"/>
      <w:spacing w:val="5"/>
      <w:sz w:val="22"/>
      <w14:textFill>
        <w14:solidFill>
          <w14:schemeClr w14:val="accent2"/>
        </w14:solidFill>
      </w14:textFill>
    </w:rPr>
  </w:style>
  <w:style w:type="character" w:customStyle="1" w:styleId="41">
    <w:name w:val="标题 7 字符"/>
    <w:basedOn w:val="21"/>
    <w:link w:val="8"/>
    <w:semiHidden/>
    <w:qFormat/>
    <w:uiPriority w:val="9"/>
    <w:rPr>
      <w:b/>
      <w:smallCaps/>
      <w:color w:val="ED7D31" w:themeColor="accent2"/>
      <w:spacing w:val="10"/>
      <w14:textFill>
        <w14:solidFill>
          <w14:schemeClr w14:val="accent2"/>
        </w14:solidFill>
      </w14:textFill>
    </w:rPr>
  </w:style>
  <w:style w:type="character" w:customStyle="1" w:styleId="42">
    <w:name w:val="标题 8 字符"/>
    <w:basedOn w:val="21"/>
    <w:link w:val="9"/>
    <w:semiHidden/>
    <w:qFormat/>
    <w:uiPriority w:val="9"/>
    <w:rPr>
      <w:b/>
      <w:i/>
      <w:smallCaps/>
      <w:color w:val="C55A11" w:themeColor="accent2" w:themeShade="BF"/>
    </w:rPr>
  </w:style>
  <w:style w:type="character" w:customStyle="1" w:styleId="43">
    <w:name w:val="标题 9 字符"/>
    <w:basedOn w:val="21"/>
    <w:link w:val="10"/>
    <w:semiHidden/>
    <w:qFormat/>
    <w:uiPriority w:val="9"/>
    <w:rPr>
      <w:b/>
      <w:i/>
      <w:smallCaps/>
      <w:color w:val="843C0B" w:themeColor="accent2" w:themeShade="80"/>
    </w:rPr>
  </w:style>
  <w:style w:type="character" w:customStyle="1" w:styleId="44">
    <w:name w:val="标题 字符"/>
    <w:basedOn w:val="21"/>
    <w:link w:val="17"/>
    <w:qFormat/>
    <w:uiPriority w:val="10"/>
    <w:rPr>
      <w:smallCaps/>
      <w:sz w:val="48"/>
      <w:szCs w:val="48"/>
    </w:rPr>
  </w:style>
  <w:style w:type="character" w:customStyle="1" w:styleId="45">
    <w:name w:val="副标题 字符"/>
    <w:basedOn w:val="21"/>
    <w:link w:val="16"/>
    <w:qFormat/>
    <w:uiPriority w:val="11"/>
    <w:rPr>
      <w:rFonts w:asciiTheme="majorHAnsi" w:hAnsiTheme="majorHAnsi" w:eastAsiaTheme="majorEastAsia" w:cstheme="majorBidi"/>
      <w:szCs w:val="22"/>
    </w:rPr>
  </w:style>
  <w:style w:type="paragraph" w:styleId="46">
    <w:name w:val="No Spacing"/>
    <w:basedOn w:val="1"/>
    <w:link w:val="47"/>
    <w:qFormat/>
    <w:uiPriority w:val="1"/>
    <w:pPr>
      <w:spacing w:after="0" w:line="240" w:lineRule="auto"/>
    </w:pPr>
  </w:style>
  <w:style w:type="character" w:customStyle="1" w:styleId="47">
    <w:name w:val="无间隔 字符"/>
    <w:basedOn w:val="21"/>
    <w:link w:val="46"/>
    <w:qFormat/>
    <w:uiPriority w:val="1"/>
  </w:style>
  <w:style w:type="paragraph" w:styleId="48">
    <w:name w:val="Quote"/>
    <w:basedOn w:val="1"/>
    <w:next w:val="1"/>
    <w:link w:val="49"/>
    <w:qFormat/>
    <w:uiPriority w:val="29"/>
    <w:rPr>
      <w:i/>
    </w:rPr>
  </w:style>
  <w:style w:type="character" w:customStyle="1" w:styleId="49">
    <w:name w:val="引用 字符"/>
    <w:basedOn w:val="21"/>
    <w:link w:val="48"/>
    <w:qFormat/>
    <w:uiPriority w:val="29"/>
    <w:rPr>
      <w:i/>
    </w:rPr>
  </w:style>
  <w:style w:type="paragraph" w:styleId="50">
    <w:name w:val="Intense Quote"/>
    <w:basedOn w:val="1"/>
    <w:next w:val="1"/>
    <w:link w:val="51"/>
    <w:qFormat/>
    <w:uiPriority w:val="30"/>
    <w:pPr>
      <w:pBdr>
        <w:top w:val="single" w:color="C55911" w:themeColor="accent2" w:themeShade="BF" w:sz="8" w:space="10"/>
        <w:left w:val="single" w:color="C55911" w:themeColor="accent2" w:themeShade="BF" w:sz="8" w:space="10"/>
        <w:bottom w:val="single" w:color="C55911" w:themeColor="accent2" w:themeShade="BF" w:sz="8" w:space="10"/>
        <w:right w:val="single" w:color="C55911" w:themeColor="accent2" w:themeShade="BF" w:sz="8" w:space="10"/>
      </w:pBdr>
      <w:shd w:val="clear" w:color="auto" w:fill="ED7D31" w:themeFill="accent2"/>
      <w:spacing w:before="140" w:after="140"/>
      <w:ind w:left="1440" w:right="1440"/>
    </w:pPr>
    <w:rPr>
      <w:b/>
      <w:i/>
      <w:color w:val="FFFFFF" w:themeColor="background1"/>
      <w14:textFill>
        <w14:solidFill>
          <w14:schemeClr w14:val="bg1"/>
        </w14:solidFill>
      </w14:textFill>
    </w:rPr>
  </w:style>
  <w:style w:type="character" w:customStyle="1" w:styleId="51">
    <w:name w:val="明显引用 字符"/>
    <w:basedOn w:val="21"/>
    <w:link w:val="50"/>
    <w:qFormat/>
    <w:uiPriority w:val="30"/>
    <w:rPr>
      <w:b/>
      <w:i/>
      <w:color w:val="FFFFFF" w:themeColor="background1"/>
      <w:shd w:val="clear" w:color="auto" w:fill="ED7D31" w:themeFill="accent2"/>
      <w14:textFill>
        <w14:solidFill>
          <w14:schemeClr w14:val="bg1"/>
        </w14:solidFill>
      </w14:textFill>
    </w:rPr>
  </w:style>
  <w:style w:type="character" w:customStyle="1" w:styleId="52">
    <w:name w:val="Subtle Emphasis"/>
    <w:qFormat/>
    <w:uiPriority w:val="19"/>
    <w:rPr>
      <w:i/>
    </w:rPr>
  </w:style>
  <w:style w:type="character" w:customStyle="1" w:styleId="53">
    <w:name w:val="Intense Emphasis"/>
    <w:qFormat/>
    <w:uiPriority w:val="21"/>
    <w:rPr>
      <w:b/>
      <w:i/>
      <w:color w:val="ED7D31" w:themeColor="accent2"/>
      <w:spacing w:val="10"/>
      <w14:textFill>
        <w14:solidFill>
          <w14:schemeClr w14:val="accent2"/>
        </w14:solidFill>
      </w14:textFill>
    </w:rPr>
  </w:style>
  <w:style w:type="character" w:customStyle="1" w:styleId="54">
    <w:name w:val="Subtle Reference"/>
    <w:qFormat/>
    <w:uiPriority w:val="31"/>
    <w:rPr>
      <w:b/>
    </w:rPr>
  </w:style>
  <w:style w:type="character" w:customStyle="1" w:styleId="55">
    <w:name w:val="Intense Reference"/>
    <w:qFormat/>
    <w:uiPriority w:val="32"/>
    <w:rPr>
      <w:b/>
      <w:bCs/>
      <w:smallCaps/>
      <w:spacing w:val="5"/>
      <w:sz w:val="22"/>
      <w:szCs w:val="22"/>
      <w:u w:val="single"/>
    </w:rPr>
  </w:style>
  <w:style w:type="character" w:customStyle="1" w:styleId="56">
    <w:name w:val="Book Title"/>
    <w:qFormat/>
    <w:uiPriority w:val="33"/>
    <w:rPr>
      <w:rFonts w:asciiTheme="majorHAnsi" w:hAnsiTheme="majorHAnsi" w:eastAsiaTheme="majorEastAsia" w:cstheme="majorBidi"/>
      <w:i/>
      <w:iCs/>
      <w:sz w:val="20"/>
      <w:szCs w:val="20"/>
    </w:rPr>
  </w:style>
  <w:style w:type="paragraph" w:customStyle="1" w:styleId="57">
    <w:name w:val="TOC Heading"/>
    <w:basedOn w:val="2"/>
    <w:next w:val="1"/>
    <w:semiHidden/>
    <w:unhideWhenUsed/>
    <w:qFormat/>
    <w:uiPriority w:val="39"/>
    <w:pPr>
      <w:outlineLvl w:val="9"/>
    </w:pPr>
  </w:style>
  <w:style w:type="character" w:customStyle="1" w:styleId="58">
    <w:name w:val="批注文字 字符"/>
    <w:basedOn w:val="21"/>
    <w:link w:val="12"/>
    <w:semiHidden/>
    <w:qFormat/>
    <w:uiPriority w:val="0"/>
  </w:style>
  <w:style w:type="character" w:customStyle="1" w:styleId="59">
    <w:name w:val="批注主题 字符"/>
    <w:basedOn w:val="58"/>
    <w:link w:val="18"/>
    <w:semiHidden/>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9.png"/><Relationship Id="rId24" Type="http://schemas.openxmlformats.org/officeDocument/2006/relationships/image" Target="media/image18.emf"/><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j\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9B4D0-7FB1-7049-8354-47B2E2C7D8BF}">
  <ds:schemaRefs/>
</ds:datastoreItem>
</file>

<file path=docProps/app.xml><?xml version="1.0" encoding="utf-8"?>
<Properties xmlns="http://schemas.openxmlformats.org/officeDocument/2006/extended-properties" xmlns:vt="http://schemas.openxmlformats.org/officeDocument/2006/docPropsVTypes">
  <Template>C:\Users\wj\AppData\Roaming\Kingsoft\wps\addons\pool\win-i386\knewfileruby_1.0.0.12\template\wps\0.docx</Template>
  <Company>Microsoft</Company>
  <Pages>17</Pages>
  <Words>735</Words>
  <Characters>4192</Characters>
  <Lines>34</Lines>
  <Paragraphs>9</Paragraphs>
  <TotalTime>0</TotalTime>
  <ScaleCrop>false</ScaleCrop>
  <LinksUpToDate>false</LinksUpToDate>
  <CharactersWithSpaces>4918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2023-04-18T03:18:00Z</dcterms:created>
  <dc:creator>王杰</dc:creator>
  <cp:lastModifiedBy>Siheng Li</cp:lastModifiedBy>
  <cp:lastPrinted>2018-12-06T01:55:00Z</cp:lastPrinted>
  <dcterms:modified xsi:type="dcterms:W3CDTF">2023-10-16T09:19:43Z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85B601750D7246D9BF3635F24A02C300_13</vt:lpwstr>
  </property>
</Properties>
</file>