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eastAsia="宋体"/>
          <w:lang w:val="en-US" w:eastAsia="zh-CN"/>
        </w:rPr>
      </w:pPr>
      <w:r>
        <w:rPr>
          <w:rFonts w:hint="eastAsia"/>
          <w:lang w:val="en-US" w:eastAsia="zh-CN"/>
        </w:rPr>
        <w:t>附件：</w:t>
      </w:r>
    </w:p>
    <w:sdt>
      <w:sdtPr>
        <w:rPr>
          <w:rFonts w:ascii="Times New Roman" w:hAnsi="Times New Roman" w:cs="Times New Roman"/>
          <w:color w:val="000000" w:themeColor="text1"/>
          <w14:textFill>
            <w14:solidFill>
              <w14:schemeClr w14:val="tx1"/>
            </w14:solidFill>
          </w14:textFill>
        </w:rPr>
        <w:id w:val="-1087993932"/>
      </w:sdtPr>
      <w:sdtEndPr>
        <w:rPr>
          <w:rFonts w:ascii="仿宋" w:hAnsi="仿宋" w:eastAsia="仿宋" w:cs="仿宋"/>
          <w:color w:val="000000" w:themeColor="text1"/>
          <w:sz w:val="56"/>
          <w:szCs w:val="72"/>
          <w14:textFill>
            <w14:solidFill>
              <w14:schemeClr w14:val="tx1"/>
            </w14:solidFill>
          </w14:textFill>
        </w:rPr>
      </w:sdtEndPr>
      <w:sdtContent>
        <w:p>
          <w:pPr>
            <w:spacing w:line="360" w:lineRule="auto"/>
            <w:ind w:left="-424" w:leftChars="-177" w:hanging="1"/>
            <w:jc w:val="center"/>
            <w:rPr>
              <w:rFonts w:ascii="Times New Roman" w:hAnsi="Times New Roman" w:cs="Times New Roman"/>
              <w:color w:val="000000" w:themeColor="text1"/>
              <w14:textFill>
                <w14:solidFill>
                  <w14:schemeClr w14:val="tx1"/>
                </w14:solidFill>
              </w14:textFill>
            </w:rPr>
          </w:pPr>
        </w:p>
        <w:p>
          <w:pPr>
            <w:spacing w:line="360" w:lineRule="auto"/>
            <w:ind w:left="-424" w:leftChars="-177" w:hanging="1"/>
            <w:jc w:val="center"/>
            <w:rPr>
              <w:rFonts w:ascii="黑体" w:hAnsi="黑体" w:eastAsia="黑体"/>
              <w:color w:val="000000" w:themeColor="text1"/>
              <w:sz w:val="52"/>
              <w:szCs w:val="52"/>
              <w14:textFill>
                <w14:solidFill>
                  <w14:schemeClr w14:val="tx1"/>
                </w14:solidFill>
              </w14:textFill>
            </w:rPr>
          </w:pPr>
        </w:p>
        <w:p>
          <w:pPr>
            <w:spacing w:line="360" w:lineRule="auto"/>
            <w:ind w:left="-424" w:leftChars="-177" w:hanging="1"/>
            <w:jc w:val="center"/>
            <w:rPr>
              <w:rFonts w:ascii="黑体" w:hAnsi="黑体" w:eastAsia="黑体"/>
              <w:color w:val="000000" w:themeColor="text1"/>
              <w:sz w:val="56"/>
              <w:szCs w:val="56"/>
              <w14:textFill>
                <w14:solidFill>
                  <w14:schemeClr w14:val="tx1"/>
                </w14:solidFill>
              </w14:textFill>
            </w:rPr>
          </w:pPr>
        </w:p>
        <w:p>
          <w:pPr>
            <w:spacing w:line="360" w:lineRule="auto"/>
            <w:ind w:left="-424" w:leftChars="-177" w:hanging="1"/>
            <w:jc w:val="center"/>
            <w:rPr>
              <w:rFonts w:hint="default" w:ascii="黑体" w:hAnsi="黑体" w:eastAsia="黑体"/>
              <w:color w:val="000000" w:themeColor="text1"/>
              <w:sz w:val="56"/>
              <w:szCs w:val="56"/>
              <w:lang w:val="en-US" w:eastAsia="zh-CN"/>
              <w14:textFill>
                <w14:solidFill>
                  <w14:schemeClr w14:val="tx1"/>
                </w14:solidFill>
              </w14:textFill>
            </w:rPr>
          </w:pPr>
          <w:bookmarkStart w:id="39" w:name="_GoBack"/>
          <w:r>
            <w:rPr>
              <w:rFonts w:hint="eastAsia" w:ascii="黑体" w:hAnsi="黑体" w:eastAsia="黑体"/>
              <w:color w:val="000000" w:themeColor="text1"/>
              <w:sz w:val="56"/>
              <w:szCs w:val="56"/>
              <w:lang w:val="en-US" w:eastAsia="zh-CN"/>
              <w14:textFill>
                <w14:solidFill>
                  <w14:schemeClr w14:val="tx1"/>
                </w14:solidFill>
              </w14:textFill>
            </w:rPr>
            <w:t>南山区医疗集团总部</w:t>
          </w:r>
        </w:p>
        <w:p>
          <w:pPr>
            <w:spacing w:line="360" w:lineRule="auto"/>
            <w:ind w:left="-424" w:leftChars="-177" w:hanging="1"/>
            <w:jc w:val="center"/>
            <w:rPr>
              <w:rFonts w:hint="eastAsia" w:ascii="黑体" w:hAnsi="黑体" w:eastAsia="黑体"/>
              <w:color w:val="000000" w:themeColor="text1"/>
              <w:sz w:val="32"/>
              <w:szCs w:val="32"/>
              <w:lang w:val="en-US" w:eastAsia="zh-CN"/>
              <w14:textFill>
                <w14:solidFill>
                  <w14:schemeClr w14:val="tx1"/>
                </w14:solidFill>
              </w14:textFill>
            </w:rPr>
          </w:pPr>
          <w:r>
            <w:rPr>
              <w:rFonts w:hint="eastAsia" w:ascii="黑体" w:hAnsi="黑体" w:eastAsia="黑体"/>
              <w:color w:val="000000" w:themeColor="text1"/>
              <w:sz w:val="56"/>
              <w:szCs w:val="56"/>
              <w14:textFill>
                <w14:solidFill>
                  <w14:schemeClr w14:val="tx1"/>
                </w14:solidFill>
              </w14:textFill>
            </w:rPr>
            <w:t>安全检测与响应管理平台</w:t>
          </w:r>
          <w:r>
            <w:rPr>
              <w:rFonts w:ascii="黑体" w:hAnsi="黑体" w:eastAsia="黑体"/>
              <w:color w:val="000000" w:themeColor="text1"/>
              <w:sz w:val="56"/>
              <w:szCs w:val="56"/>
              <w14:textFill>
                <w14:solidFill>
                  <w14:schemeClr w14:val="tx1"/>
                </w14:solidFill>
              </w14:textFill>
            </w:rPr>
            <w:t>项目</w:t>
          </w:r>
          <w:r>
            <w:rPr>
              <w:rFonts w:hint="eastAsia" w:ascii="黑体" w:hAnsi="黑体" w:eastAsia="黑体"/>
              <w:color w:val="000000" w:themeColor="text1"/>
              <w:sz w:val="56"/>
              <w:szCs w:val="56"/>
              <w:lang w:val="en-US" w:eastAsia="zh-CN"/>
              <w14:textFill>
                <w14:solidFill>
                  <w14:schemeClr w14:val="tx1"/>
                </w14:solidFill>
              </w14:textFill>
            </w:rPr>
            <w:t>需求</w:t>
          </w:r>
        </w:p>
        <w:bookmarkEnd w:id="39"/>
        <w:p>
          <w:pPr>
            <w:spacing w:line="360" w:lineRule="auto"/>
            <w:ind w:left="-424" w:leftChars="-177" w:hanging="1"/>
            <w:jc w:val="center"/>
            <w:rPr>
              <w:rFonts w:ascii="黑体" w:hAnsi="黑体" w:eastAsia="黑体"/>
              <w:color w:val="000000" w:themeColor="text1"/>
              <w:sz w:val="32"/>
              <w:szCs w:val="32"/>
              <w14:textFill>
                <w14:solidFill>
                  <w14:schemeClr w14:val="tx1"/>
                </w14:solidFill>
              </w14:textFill>
            </w:rPr>
          </w:pPr>
        </w:p>
        <w:p>
          <w:pPr>
            <w:spacing w:line="360" w:lineRule="auto"/>
            <w:ind w:left="-424" w:leftChars="-177" w:hanging="1"/>
            <w:jc w:val="center"/>
            <w:rPr>
              <w:rFonts w:ascii="黑体" w:hAnsi="黑体" w:eastAsia="黑体"/>
              <w:color w:val="000000" w:themeColor="text1"/>
              <w:sz w:val="32"/>
              <w:szCs w:val="32"/>
              <w14:textFill>
                <w14:solidFill>
                  <w14:schemeClr w14:val="tx1"/>
                </w14:solidFill>
              </w14:textFill>
            </w:rPr>
          </w:pPr>
        </w:p>
        <w:p>
          <w:pPr>
            <w:spacing w:line="360" w:lineRule="auto"/>
            <w:ind w:left="-424" w:leftChars="-177" w:hanging="1"/>
            <w:jc w:val="center"/>
            <w:rPr>
              <w:rFonts w:ascii="黑体" w:hAnsi="黑体" w:eastAsia="黑体"/>
              <w:color w:val="000000" w:themeColor="text1"/>
              <w:sz w:val="32"/>
              <w:szCs w:val="32"/>
              <w14:textFill>
                <w14:solidFill>
                  <w14:schemeClr w14:val="tx1"/>
                </w14:solidFill>
              </w14:textFill>
            </w:rPr>
          </w:pPr>
        </w:p>
        <w:p>
          <w:pPr>
            <w:spacing w:line="360" w:lineRule="auto"/>
            <w:ind w:left="-424" w:leftChars="-177" w:hanging="1"/>
            <w:jc w:val="center"/>
            <w:rPr>
              <w:rFonts w:ascii="黑体" w:hAnsi="黑体" w:eastAsia="黑体"/>
              <w:color w:val="000000" w:themeColor="text1"/>
              <w:sz w:val="32"/>
              <w:szCs w:val="32"/>
              <w14:textFill>
                <w14:solidFill>
                  <w14:schemeClr w14:val="tx1"/>
                </w14:solidFill>
              </w14:textFill>
            </w:rPr>
          </w:pPr>
        </w:p>
        <w:p>
          <w:pPr>
            <w:spacing w:line="360" w:lineRule="auto"/>
            <w:ind w:left="-424" w:leftChars="-177" w:hanging="1"/>
            <w:jc w:val="center"/>
            <w:rPr>
              <w:rFonts w:ascii="黑体" w:hAnsi="黑体" w:eastAsia="黑体"/>
              <w:color w:val="000000" w:themeColor="text1"/>
              <w:sz w:val="32"/>
              <w:szCs w:val="32"/>
              <w14:textFill>
                <w14:solidFill>
                  <w14:schemeClr w14:val="tx1"/>
                </w14:solidFill>
              </w14:textFill>
            </w:rPr>
          </w:pPr>
        </w:p>
        <w:p>
          <w:pPr>
            <w:spacing w:line="360" w:lineRule="auto"/>
            <w:ind w:left="-424" w:leftChars="-177" w:hanging="1"/>
            <w:jc w:val="center"/>
            <w:rPr>
              <w:rFonts w:ascii="黑体" w:hAnsi="黑体" w:eastAsia="黑体"/>
              <w:color w:val="000000" w:themeColor="text1"/>
              <w:sz w:val="32"/>
              <w:szCs w:val="32"/>
              <w14:textFill>
                <w14:solidFill>
                  <w14:schemeClr w14:val="tx1"/>
                </w14:solidFill>
              </w14:textFill>
            </w:rPr>
          </w:pPr>
        </w:p>
        <w:p>
          <w:pPr>
            <w:spacing w:line="360" w:lineRule="auto"/>
            <w:ind w:left="-424" w:leftChars="-177" w:hanging="1"/>
            <w:jc w:val="center"/>
            <w:rPr>
              <w:rFonts w:ascii="黑体" w:hAnsi="黑体" w:eastAsia="黑体"/>
              <w:color w:val="000000" w:themeColor="text1"/>
              <w:sz w:val="32"/>
              <w:szCs w:val="32"/>
              <w14:textFill>
                <w14:solidFill>
                  <w14:schemeClr w14:val="tx1"/>
                </w14:solidFill>
              </w14:textFill>
            </w:rPr>
          </w:pPr>
        </w:p>
        <w:p>
          <w:pPr>
            <w:spacing w:line="360" w:lineRule="auto"/>
            <w:ind w:left="-424" w:leftChars="-177" w:hanging="1"/>
            <w:jc w:val="center"/>
            <w:rPr>
              <w:rFonts w:ascii="黑体" w:hAnsi="黑体" w:eastAsia="黑体"/>
              <w:color w:val="000000" w:themeColor="text1"/>
              <w:sz w:val="32"/>
              <w:szCs w:val="32"/>
              <w14:textFill>
                <w14:solidFill>
                  <w14:schemeClr w14:val="tx1"/>
                </w14:solidFill>
              </w14:textFill>
            </w:rPr>
          </w:pPr>
        </w:p>
        <w:p>
          <w:pPr>
            <w:spacing w:line="360" w:lineRule="auto"/>
            <w:ind w:left="-424" w:leftChars="-177" w:hanging="1"/>
            <w:jc w:val="center"/>
            <w:rPr>
              <w:rFonts w:ascii="黑体" w:hAnsi="黑体" w:eastAsia="黑体"/>
              <w:color w:val="000000" w:themeColor="text1"/>
              <w:sz w:val="32"/>
              <w:szCs w:val="32"/>
              <w14:textFill>
                <w14:solidFill>
                  <w14:schemeClr w14:val="tx1"/>
                </w14:solidFill>
              </w14:textFill>
            </w:rPr>
          </w:pPr>
        </w:p>
        <w:p>
          <w:pPr>
            <w:spacing w:line="360" w:lineRule="auto"/>
            <w:rPr>
              <w:rFonts w:ascii="仿宋" w:hAnsi="仿宋" w:eastAsia="仿宋" w:cs="仿宋"/>
              <w:color w:val="000000" w:themeColor="text1"/>
              <w:sz w:val="56"/>
              <w:szCs w:val="72"/>
              <w14:textFill>
                <w14:solidFill>
                  <w14:schemeClr w14:val="tx1"/>
                </w14:solidFill>
              </w14:textFill>
            </w:rPr>
          </w:pPr>
          <w:r>
            <w:rPr>
              <w:rFonts w:ascii="仿宋" w:hAnsi="仿宋" w:eastAsia="仿宋" w:cs="仿宋"/>
              <w:color w:val="000000" w:themeColor="text1"/>
              <w:sz w:val="56"/>
              <w:szCs w:val="72"/>
              <w14:textFill>
                <w14:solidFill>
                  <w14:schemeClr w14:val="tx1"/>
                </w14:solidFill>
              </w14:textFill>
            </w:rPr>
            <w:br w:type="page"/>
          </w:r>
        </w:p>
      </w:sdtContent>
    </w:sdt>
    <w:p>
      <w:pPr>
        <w:pStyle w:val="3"/>
        <w:spacing w:line="360" w:lineRule="auto"/>
        <w:rPr>
          <w:lang w:eastAsia="zh-CN"/>
        </w:rPr>
      </w:pPr>
      <w:r>
        <w:rPr>
          <w:rFonts w:hint="eastAsia"/>
          <w:lang w:eastAsia="zh-CN"/>
        </w:rPr>
        <w:t>项目概述</w:t>
      </w:r>
    </w:p>
    <w:p>
      <w:pPr>
        <w:pStyle w:val="4"/>
        <w:tabs>
          <w:tab w:val="left" w:pos="720"/>
          <w:tab w:val="clear" w:pos="840"/>
        </w:tabs>
        <w:spacing w:line="360" w:lineRule="auto"/>
        <w:ind w:hanging="859"/>
        <w:rPr>
          <w:rFonts w:ascii="Heiti SC Light" w:hAnsi="Heiti SC Light" w:eastAsia="Heiti SC Light" w:cs="仿宋"/>
          <w:b w:val="0"/>
          <w:bCs w:val="0"/>
          <w:color w:val="000000" w:themeColor="text1"/>
          <w:lang w:eastAsia="zh-CN"/>
          <w14:textFill>
            <w14:solidFill>
              <w14:schemeClr w14:val="tx1"/>
            </w14:solidFill>
          </w14:textFill>
        </w:rPr>
      </w:pPr>
      <w:r>
        <w:rPr>
          <w:rFonts w:hint="eastAsia" w:ascii="Heiti SC Light" w:hAnsi="Heiti SC Light" w:eastAsia="Heiti SC Light" w:cs="仿宋"/>
          <w:b w:val="0"/>
          <w:bCs w:val="0"/>
          <w:color w:val="000000" w:themeColor="text1"/>
          <w:lang w:eastAsia="zh-CN"/>
          <w14:textFill>
            <w14:solidFill>
              <w14:schemeClr w14:val="tx1"/>
            </w14:solidFill>
          </w14:textFill>
        </w:rPr>
        <w:t>项目名称</w:t>
      </w:r>
    </w:p>
    <w:p>
      <w:pPr>
        <w:pStyle w:val="68"/>
        <w:ind w:firstLine="480"/>
        <w:rPr>
          <w:rFonts w:ascii="宋体" w:hAnsi="宋体" w:cs="宋体"/>
          <w:kern w:val="0"/>
          <w:szCs w:val="24"/>
        </w:rPr>
      </w:pPr>
      <w:r>
        <w:rPr>
          <w:rFonts w:hint="eastAsia"/>
          <w:lang w:val="en-US" w:eastAsia="zh-CN"/>
        </w:rPr>
        <w:t>南山区医疗集团总部</w:t>
      </w:r>
      <w:r>
        <w:rPr>
          <w:rFonts w:hint="eastAsia"/>
        </w:rPr>
        <w:t>安全检测与响应管理平台</w:t>
      </w:r>
    </w:p>
    <w:p>
      <w:pPr>
        <w:pStyle w:val="4"/>
        <w:tabs>
          <w:tab w:val="left" w:pos="720"/>
          <w:tab w:val="clear" w:pos="840"/>
        </w:tabs>
        <w:spacing w:line="360" w:lineRule="auto"/>
        <w:ind w:hanging="859"/>
        <w:rPr>
          <w:rFonts w:ascii="黑体" w:hAnsi="黑体" w:eastAsia="黑体" w:cs="黑体"/>
          <w:b w:val="0"/>
          <w:bCs w:val="0"/>
          <w:szCs w:val="32"/>
          <w:lang w:eastAsia="zh-CN"/>
        </w:rPr>
      </w:pPr>
      <w:r>
        <w:rPr>
          <w:rFonts w:hint="eastAsia" w:ascii="黑体" w:hAnsi="黑体" w:eastAsia="黑体" w:cs="黑体"/>
          <w:b w:val="0"/>
          <w:bCs w:val="0"/>
          <w:color w:val="000000" w:themeColor="text1"/>
          <w:szCs w:val="32"/>
          <w:lang w:eastAsia="zh-CN"/>
          <w14:textFill>
            <w14:solidFill>
              <w14:schemeClr w14:val="tx1"/>
            </w14:solidFill>
          </w14:textFill>
        </w:rPr>
        <w:t>项目周期</w:t>
      </w:r>
    </w:p>
    <w:p>
      <w:pPr>
        <w:pStyle w:val="68"/>
        <w:ind w:firstLine="480"/>
        <w:rPr>
          <w:rFonts w:ascii="宋体" w:hAnsi="宋体" w:cs="宋体"/>
          <w:kern w:val="0"/>
          <w:szCs w:val="24"/>
        </w:rPr>
      </w:pPr>
      <w:r>
        <w:rPr>
          <w:rFonts w:hint="eastAsia" w:ascii="宋体" w:hAnsi="宋体" w:cs="宋体"/>
          <w:kern w:val="0"/>
          <w:szCs w:val="24"/>
        </w:rPr>
        <w:t>项目建设周期为</w:t>
      </w:r>
      <w:r>
        <w:rPr>
          <w:rFonts w:hint="eastAsia" w:ascii="宋体" w:hAnsi="宋体" w:cs="宋体"/>
          <w:kern w:val="0"/>
          <w:szCs w:val="24"/>
          <w:lang w:val="en-US" w:eastAsia="zh-CN"/>
        </w:rPr>
        <w:t>6</w:t>
      </w:r>
      <w:r>
        <w:rPr>
          <w:rFonts w:ascii="宋体" w:hAnsi="宋体" w:cs="宋体"/>
          <w:kern w:val="0"/>
          <w:szCs w:val="24"/>
        </w:rPr>
        <w:t>0</w:t>
      </w:r>
      <w:r>
        <w:rPr>
          <w:rFonts w:hint="eastAsia" w:ascii="宋体" w:hAnsi="宋体" w:cs="宋体"/>
          <w:kern w:val="0"/>
          <w:szCs w:val="24"/>
        </w:rPr>
        <w:t>天</w:t>
      </w:r>
    </w:p>
    <w:p>
      <w:pPr>
        <w:pStyle w:val="4"/>
        <w:tabs>
          <w:tab w:val="left" w:pos="720"/>
          <w:tab w:val="clear" w:pos="840"/>
        </w:tabs>
        <w:spacing w:line="360" w:lineRule="auto"/>
        <w:ind w:hanging="859"/>
        <w:rPr>
          <w:rFonts w:ascii="黑体" w:hAnsi="黑体" w:eastAsia="黑体" w:cs="黑体"/>
          <w:b w:val="0"/>
          <w:bCs w:val="0"/>
          <w:color w:val="000000" w:themeColor="text1"/>
          <w:szCs w:val="32"/>
          <w:lang w:eastAsia="zh-CN"/>
          <w14:textFill>
            <w14:solidFill>
              <w14:schemeClr w14:val="tx1"/>
            </w14:solidFill>
          </w14:textFill>
        </w:rPr>
      </w:pPr>
      <w:r>
        <w:rPr>
          <w:rFonts w:hint="eastAsia" w:ascii="黑体" w:hAnsi="黑体" w:eastAsia="黑体" w:cs="黑体"/>
          <w:b w:val="0"/>
          <w:bCs w:val="0"/>
          <w:color w:val="000000" w:themeColor="text1"/>
          <w:szCs w:val="32"/>
          <w:lang w:eastAsia="zh-CN"/>
          <w14:textFill>
            <w14:solidFill>
              <w14:schemeClr w14:val="tx1"/>
            </w14:solidFill>
          </w14:textFill>
        </w:rPr>
        <w:t>业务现状和需求分析</w:t>
      </w:r>
    </w:p>
    <w:p>
      <w:pPr>
        <w:pStyle w:val="5"/>
        <w:spacing w:line="360" w:lineRule="auto"/>
      </w:pPr>
      <w:bookmarkStart w:id="0" w:name="_Toc51567408"/>
      <w:bookmarkStart w:id="1" w:name="_Toc22270"/>
      <w:r>
        <w:rPr>
          <w:rFonts w:hint="eastAsia"/>
        </w:rPr>
        <w:t>应用层安全风险</w:t>
      </w:r>
      <w:bookmarkEnd w:id="0"/>
      <w:bookmarkEnd w:id="1"/>
    </w:p>
    <w:p>
      <w:pPr>
        <w:pStyle w:val="88"/>
        <w:ind w:left="360" w:hanging="360"/>
        <w:rPr>
          <w:rFonts w:ascii="宋体" w:hAnsi="宋体"/>
        </w:rPr>
      </w:pPr>
      <w:r>
        <w:rPr>
          <w:rFonts w:hint="eastAsia" w:ascii="宋体" w:hAnsi="宋体"/>
        </w:rPr>
        <w:t>应用系统资产众多，存在大量的资产信息不明，互联网暴露面不清晰等问题；</w:t>
      </w:r>
    </w:p>
    <w:p>
      <w:pPr>
        <w:pStyle w:val="88"/>
        <w:ind w:left="360" w:hanging="360"/>
        <w:rPr>
          <w:rFonts w:ascii="宋体" w:hAnsi="宋体"/>
        </w:rPr>
      </w:pPr>
      <w:r>
        <w:rPr>
          <w:rFonts w:hint="eastAsia" w:ascii="宋体" w:hAnsi="宋体"/>
        </w:rPr>
        <w:t>应用系统存在大量的漏洞未及时修复，暴露在互联网上的业务系统存在文件上传校验不严格以及IIS中间件系统安全漏洞，导致攻击者利用概率极高；</w:t>
      </w:r>
    </w:p>
    <w:p>
      <w:pPr>
        <w:pStyle w:val="88"/>
        <w:ind w:left="360" w:hanging="360"/>
        <w:rPr>
          <w:rFonts w:ascii="宋体" w:hAnsi="宋体"/>
        </w:rPr>
      </w:pPr>
      <w:r>
        <w:rPr>
          <w:rFonts w:hint="eastAsia" w:ascii="宋体" w:hAnsi="宋体"/>
        </w:rPr>
        <w:t>账户安全风险：应用系统存在大量的弱密码、多台服务器使用相同密码、系统管理员使用默认密码等问题存在严重安全隐患；</w:t>
      </w:r>
    </w:p>
    <w:p>
      <w:pPr>
        <w:pStyle w:val="88"/>
        <w:ind w:left="360" w:hanging="360"/>
        <w:rPr>
          <w:rFonts w:ascii="宋体" w:hAnsi="宋体"/>
        </w:rPr>
      </w:pPr>
      <w:r>
        <w:rPr>
          <w:rFonts w:hint="eastAsia" w:ascii="宋体" w:hAnsi="宋体"/>
        </w:rPr>
        <w:t>缺乏有效的应用层安全威胁监测与响应手段，只能等到安全事件发生了才来被动响应溯源，往往损失已经造成了，而有经验的攻击方能够很轻易的抹除攻击痕迹，导致很难溯源；</w:t>
      </w:r>
    </w:p>
    <w:p>
      <w:pPr>
        <w:pStyle w:val="88"/>
        <w:ind w:left="360" w:hanging="360"/>
        <w:rPr>
          <w:rFonts w:ascii="宋体" w:hAnsi="宋体"/>
        </w:rPr>
      </w:pPr>
      <w:r>
        <w:rPr>
          <w:rFonts w:hint="eastAsia" w:ascii="宋体" w:hAnsi="宋体"/>
        </w:rPr>
        <w:t>缺乏应用程序日志审计与备份机制，在网络中又没有流量和行为监测等技术手段，导致攻击者入侵成功后无法及时发现，攻击者退出后如果清除了入口跳板主机上的日志信息后就没有其他途径可以分析攻击者的访问痕迹。</w:t>
      </w:r>
    </w:p>
    <w:p>
      <w:pPr>
        <w:pStyle w:val="5"/>
        <w:spacing w:line="360" w:lineRule="auto"/>
      </w:pPr>
      <w:bookmarkStart w:id="2" w:name="_Toc51567409"/>
      <w:bookmarkStart w:id="3" w:name="_Toc6611"/>
      <w:r>
        <w:rPr>
          <w:rFonts w:hint="eastAsia"/>
        </w:rPr>
        <w:t>网络</w:t>
      </w:r>
      <w:bookmarkEnd w:id="2"/>
      <w:r>
        <w:rPr>
          <w:rFonts w:hint="eastAsia"/>
        </w:rPr>
        <w:t>层安全风险</w:t>
      </w:r>
      <w:bookmarkEnd w:id="3"/>
    </w:p>
    <w:p>
      <w:pPr>
        <w:pStyle w:val="88"/>
        <w:numPr>
          <w:ilvl w:val="0"/>
          <w:numId w:val="6"/>
        </w:numPr>
        <w:ind w:left="360" w:hanging="360"/>
        <w:rPr>
          <w:rFonts w:ascii="宋体" w:hAnsi="宋体"/>
        </w:rPr>
      </w:pPr>
      <w:r>
        <w:rPr>
          <w:rFonts w:hint="eastAsia" w:ascii="宋体" w:hAnsi="宋体"/>
        </w:rPr>
        <w:t>网络分级分域缺失，需要对互联网提供服务的业务系统服务器直接从内网经过网闸方通提供互联网接入，一旦有一台服务器失陷就导致内部全网被攻陷；</w:t>
      </w:r>
    </w:p>
    <w:p>
      <w:pPr>
        <w:pStyle w:val="88"/>
        <w:numPr>
          <w:ilvl w:val="0"/>
          <w:numId w:val="6"/>
        </w:numPr>
        <w:ind w:left="360" w:hanging="360"/>
        <w:rPr>
          <w:rFonts w:ascii="宋体" w:hAnsi="宋体"/>
        </w:rPr>
      </w:pPr>
      <w:r>
        <w:rPr>
          <w:rFonts w:hint="eastAsia" w:ascii="宋体" w:hAnsi="宋体"/>
        </w:rPr>
        <w:t>边界应用层监测及防护机制缺失，网络边界现有的传统防火墙无法记录服务器的访问行为和应用层攻击行为，导致攻击行为无法快速发现，攻击成功后难以发现，响应溯源无迹可查；</w:t>
      </w:r>
    </w:p>
    <w:p>
      <w:pPr>
        <w:pStyle w:val="88"/>
        <w:numPr>
          <w:ilvl w:val="0"/>
          <w:numId w:val="6"/>
        </w:numPr>
        <w:ind w:left="360" w:hanging="360"/>
        <w:rPr>
          <w:rFonts w:ascii="宋体" w:hAnsi="宋体"/>
        </w:rPr>
      </w:pPr>
      <w:r>
        <w:rPr>
          <w:rFonts w:hint="eastAsia" w:ascii="宋体" w:hAnsi="宋体"/>
        </w:rPr>
        <w:t>内部网络全流量监测分析手段缺失，现有安全设备无法记录全流量的主机行为，仅记录明确的攻击行为，对高级威胁攻击的识别和行为记录留存不起作用；</w:t>
      </w:r>
    </w:p>
    <w:p>
      <w:pPr>
        <w:pStyle w:val="5"/>
        <w:spacing w:line="360" w:lineRule="auto"/>
      </w:pPr>
      <w:bookmarkStart w:id="4" w:name="_Toc51567410"/>
      <w:bookmarkStart w:id="5" w:name="_Toc26178"/>
      <w:r>
        <w:rPr>
          <w:rFonts w:hint="eastAsia"/>
        </w:rPr>
        <w:t>终端主机层安全</w:t>
      </w:r>
      <w:bookmarkEnd w:id="4"/>
      <w:r>
        <w:rPr>
          <w:rFonts w:hint="eastAsia"/>
        </w:rPr>
        <w:t>风险</w:t>
      </w:r>
      <w:bookmarkEnd w:id="5"/>
    </w:p>
    <w:p>
      <w:pPr>
        <w:pStyle w:val="88"/>
        <w:numPr>
          <w:ilvl w:val="0"/>
          <w:numId w:val="7"/>
        </w:numPr>
        <w:ind w:left="360" w:hanging="360"/>
        <w:rPr>
          <w:rFonts w:ascii="宋体" w:hAnsi="宋体"/>
        </w:rPr>
      </w:pPr>
      <w:r>
        <w:rPr>
          <w:rFonts w:hint="eastAsia" w:ascii="宋体" w:hAnsi="宋体"/>
        </w:rPr>
        <w:t>主机上现有部署的杀毒软件仅能实现基于文件特征的检测，无法做到主机文件异常和行为异常的识别，对webshell、命令执行、挖矿、勒索等病毒行为无法做到有效的检测和防御；</w:t>
      </w:r>
    </w:p>
    <w:p>
      <w:pPr>
        <w:pStyle w:val="88"/>
        <w:numPr>
          <w:ilvl w:val="0"/>
          <w:numId w:val="7"/>
        </w:numPr>
        <w:ind w:left="360" w:hanging="360"/>
        <w:rPr>
          <w:rFonts w:ascii="宋体" w:hAnsi="宋体"/>
        </w:rPr>
      </w:pPr>
      <w:r>
        <w:rPr>
          <w:rFonts w:hint="eastAsia" w:ascii="宋体" w:hAnsi="宋体"/>
        </w:rPr>
        <w:t>主机未及时更新系统补丁，如勒索病毒传播利用的漏洞相关的MS17-010等安全补丁有大量的主机都未修复；</w:t>
      </w:r>
    </w:p>
    <w:p>
      <w:pPr>
        <w:pStyle w:val="88"/>
        <w:numPr>
          <w:ilvl w:val="0"/>
          <w:numId w:val="7"/>
        </w:numPr>
        <w:ind w:left="360" w:hanging="360"/>
        <w:rPr>
          <w:rFonts w:ascii="宋体" w:hAnsi="宋体"/>
        </w:rPr>
      </w:pPr>
      <w:r>
        <w:rPr>
          <w:rFonts w:hint="eastAsia" w:ascii="宋体" w:hAnsi="宋体"/>
        </w:rPr>
        <w:t>主机存在大量的安全漏洞未修复补丁，对主机漏洞存在的安全隐患缺乏有效的管理手段做到处置闭环；</w:t>
      </w:r>
    </w:p>
    <w:p>
      <w:pPr>
        <w:pStyle w:val="88"/>
        <w:numPr>
          <w:ilvl w:val="0"/>
          <w:numId w:val="7"/>
        </w:numPr>
        <w:ind w:left="360" w:hanging="360"/>
        <w:rPr>
          <w:rFonts w:ascii="宋体" w:hAnsi="宋体"/>
        </w:rPr>
      </w:pPr>
      <w:r>
        <w:rPr>
          <w:rFonts w:hint="eastAsia" w:ascii="宋体" w:hAnsi="宋体"/>
        </w:rPr>
        <w:t>内部主机存在大量的僵尸网络、勒索、挖矿等失陷事件，缺乏主动发现和处置手段，导致网络内部潜在威胁不断增多。</w:t>
      </w:r>
    </w:p>
    <w:p>
      <w:pPr>
        <w:pStyle w:val="88"/>
        <w:numPr>
          <w:ilvl w:val="0"/>
          <w:numId w:val="7"/>
        </w:numPr>
        <w:ind w:left="360" w:hanging="360"/>
        <w:rPr>
          <w:rFonts w:ascii="宋体" w:hAnsi="宋体"/>
        </w:rPr>
      </w:pPr>
      <w:r>
        <w:rPr>
          <w:rFonts w:hint="eastAsia" w:ascii="宋体" w:hAnsi="宋体"/>
        </w:rPr>
        <w:t>已有</w:t>
      </w:r>
      <w:r>
        <w:rPr>
          <w:rFonts w:ascii="宋体" w:hAnsi="宋体"/>
        </w:rPr>
        <w:t>防病毒产品</w:t>
      </w:r>
      <w:r>
        <w:rPr>
          <w:rFonts w:hint="eastAsia" w:ascii="宋体" w:hAnsi="宋体"/>
        </w:rPr>
        <w:t>基于病毒特征库方式进行杀毒，在</w:t>
      </w:r>
      <w:r>
        <w:rPr>
          <w:rFonts w:ascii="宋体" w:hAnsi="宋体"/>
        </w:rPr>
        <w:t>高级</w:t>
      </w:r>
      <w:r>
        <w:rPr>
          <w:rFonts w:hint="eastAsia" w:ascii="宋体" w:hAnsi="宋体"/>
        </w:rPr>
        <w:t>威胁</w:t>
      </w:r>
      <w:r>
        <w:rPr>
          <w:rFonts w:ascii="宋体" w:hAnsi="宋体"/>
        </w:rPr>
        <w:t>持续产生的</w:t>
      </w:r>
      <w:r>
        <w:rPr>
          <w:rFonts w:hint="eastAsia" w:ascii="宋体" w:hAnsi="宋体"/>
        </w:rPr>
        <w:t>大环境</w:t>
      </w:r>
      <w:r>
        <w:rPr>
          <w:rFonts w:ascii="宋体" w:hAnsi="宋体"/>
        </w:rPr>
        <w:t>下</w:t>
      </w:r>
      <w:r>
        <w:rPr>
          <w:rFonts w:hint="eastAsia" w:ascii="宋体" w:hAnsi="宋体"/>
        </w:rPr>
        <w:t>，呈现被动、后知后觉等检测特点，无法及时有效防御新型病毒，如</w:t>
      </w:r>
      <w:r>
        <w:rPr>
          <w:rFonts w:ascii="宋体" w:hAnsi="宋体"/>
        </w:rPr>
        <w:t>W</w:t>
      </w:r>
      <w:r>
        <w:rPr>
          <w:rFonts w:hint="eastAsia" w:ascii="宋体" w:hAnsi="宋体"/>
        </w:rPr>
        <w:t>anna</w:t>
      </w:r>
      <w:r>
        <w:rPr>
          <w:rFonts w:ascii="宋体" w:hAnsi="宋体"/>
        </w:rPr>
        <w:t>C</w:t>
      </w:r>
      <w:r>
        <w:rPr>
          <w:rFonts w:hint="eastAsia" w:ascii="宋体" w:hAnsi="宋体"/>
        </w:rPr>
        <w:t>ry勒索病毒。另外，本地特征库数量受</w:t>
      </w:r>
      <w:r>
        <w:rPr>
          <w:rFonts w:ascii="宋体" w:hAnsi="宋体"/>
        </w:rPr>
        <w:t>存储、性能、资源等多方面影响</w:t>
      </w:r>
      <w:r>
        <w:rPr>
          <w:rFonts w:hint="eastAsia" w:ascii="宋体" w:hAnsi="宋体"/>
        </w:rPr>
        <w:t>，现有本地特征库文件规模无法满足已知病毒的查杀需求。</w:t>
      </w:r>
    </w:p>
    <w:p>
      <w:pPr>
        <w:pStyle w:val="88"/>
        <w:numPr>
          <w:ilvl w:val="0"/>
          <w:numId w:val="7"/>
        </w:numPr>
        <w:ind w:left="360" w:hanging="360"/>
        <w:rPr>
          <w:rFonts w:ascii="宋体" w:hAnsi="宋体"/>
        </w:rPr>
      </w:pPr>
      <w:r>
        <w:rPr>
          <w:rFonts w:hint="eastAsia" w:ascii="宋体" w:hAnsi="宋体"/>
        </w:rPr>
        <w:t>如</w:t>
      </w:r>
      <w:r>
        <w:rPr>
          <w:rFonts w:ascii="宋体" w:hAnsi="宋体"/>
        </w:rPr>
        <w:t>信息系统内某台终端</w:t>
      </w:r>
      <w:r>
        <w:rPr>
          <w:rFonts w:hint="eastAsia" w:ascii="宋体" w:hAnsi="宋体"/>
        </w:rPr>
        <w:t>发现</w:t>
      </w:r>
      <w:r>
        <w:rPr>
          <w:rFonts w:ascii="宋体" w:hAnsi="宋体"/>
        </w:rPr>
        <w:t>病毒，防病毒产品将</w:t>
      </w:r>
      <w:r>
        <w:rPr>
          <w:rFonts w:hint="eastAsia" w:ascii="宋体" w:hAnsi="宋体"/>
        </w:rPr>
        <w:t>采取基于文件隔离的方式进行处置，此种</w:t>
      </w:r>
      <w:r>
        <w:rPr>
          <w:rFonts w:ascii="宋体" w:hAnsi="宋体"/>
        </w:rPr>
        <w:t>方式</w:t>
      </w:r>
      <w:r>
        <w:rPr>
          <w:rFonts w:hint="eastAsia" w:ascii="宋体" w:hAnsi="宋体"/>
        </w:rPr>
        <w:t>相对落后，如文件隔离失败情况产生</w:t>
      </w:r>
      <w:r>
        <w:rPr>
          <w:rFonts w:ascii="宋体" w:hAnsi="宋体"/>
        </w:rPr>
        <w:t>，单点威胁将快速辐射到面</w:t>
      </w:r>
      <w:r>
        <w:rPr>
          <w:rFonts w:hint="eastAsia" w:ascii="宋体" w:hAnsi="宋体"/>
        </w:rPr>
        <w:t>，因此传统防毒产品已经无法适应新的病毒传播方式及环境。</w:t>
      </w:r>
    </w:p>
    <w:p>
      <w:pPr>
        <w:pStyle w:val="5"/>
        <w:spacing w:line="360" w:lineRule="auto"/>
      </w:pPr>
      <w:bookmarkStart w:id="6" w:name="_Toc26590"/>
      <w:r>
        <w:rPr>
          <w:rFonts w:hint="eastAsia"/>
        </w:rPr>
        <w:t>安全效果运营保障机制缺失</w:t>
      </w:r>
      <w:bookmarkEnd w:id="6"/>
    </w:p>
    <w:p>
      <w:pPr>
        <w:pStyle w:val="88"/>
        <w:numPr>
          <w:ilvl w:val="0"/>
          <w:numId w:val="8"/>
        </w:numPr>
        <w:ind w:left="360" w:hanging="360"/>
        <w:rPr>
          <w:rFonts w:ascii="宋体" w:hAnsi="宋体"/>
        </w:rPr>
      </w:pPr>
      <w:r>
        <w:rPr>
          <w:rFonts w:hint="eastAsia" w:ascii="宋体" w:hAnsi="宋体"/>
        </w:rPr>
        <w:t>缺乏信息化资产管理机制，对IT资产没有清晰的梳理和持续的变更管理跟踪，导致资产信息脱节严重，安全工作保护的目标都不清楚，僵尸资产、暴露面较多；</w:t>
      </w:r>
    </w:p>
    <w:p>
      <w:pPr>
        <w:pStyle w:val="88"/>
        <w:numPr>
          <w:ilvl w:val="0"/>
          <w:numId w:val="8"/>
        </w:numPr>
        <w:ind w:left="360" w:hanging="360"/>
        <w:rPr>
          <w:rFonts w:ascii="宋体" w:hAnsi="宋体"/>
        </w:rPr>
      </w:pPr>
      <w:r>
        <w:rPr>
          <w:rFonts w:hint="eastAsia" w:ascii="宋体" w:hAnsi="宋体"/>
        </w:rPr>
        <w:t>信息化资产脆弱性缺乏有效管理，无法做到业务系统脆弱性问题的闭环管理；不管是技术保障还是管理机制都难以匹配脆弱性闭环管理的要求；</w:t>
      </w:r>
    </w:p>
    <w:p>
      <w:pPr>
        <w:pStyle w:val="88"/>
        <w:numPr>
          <w:ilvl w:val="0"/>
          <w:numId w:val="8"/>
        </w:numPr>
        <w:ind w:left="360" w:hanging="360"/>
      </w:pPr>
      <w:r>
        <w:rPr>
          <w:rFonts w:hint="eastAsia" w:ascii="宋体" w:hAnsi="宋体"/>
        </w:rPr>
        <w:t>安全威胁管理基础几乎为零，威胁监测、分析研判、响应处置等方面技术手段和管理机制保障都很缺乏，仅有基础的网络层访问控制措施。</w:t>
      </w:r>
    </w:p>
    <w:p>
      <w:pPr>
        <w:pStyle w:val="89"/>
        <w:ind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技术工具是安全运营工作的主要载体和基础。现有各类安全设备和组件各自为战、日志分散、能力不集中，且对内网横向流量与虚拟化平台内部东西向流量缺乏有效检测，无法全面看清全网流量风险。为了自身网络安全防护需要，同时满足合规与主管单位监管要求，亟需搭建一套行之有效的安全运营平台，希望实现以下需求目标：</w:t>
      </w:r>
    </w:p>
    <w:p>
      <w:pPr>
        <w:pStyle w:val="89"/>
        <w:numPr>
          <w:ilvl w:val="1"/>
          <w:numId w:val="9"/>
        </w:numPr>
        <w:ind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实现全网安全流量与日志的统一汇聚、检测与分析，提供集中安全告警，收敛安全运维入口，提高安全分析与运维效率；</w:t>
      </w:r>
    </w:p>
    <w:p>
      <w:pPr>
        <w:pStyle w:val="89"/>
        <w:numPr>
          <w:ilvl w:val="1"/>
          <w:numId w:val="9"/>
        </w:numPr>
        <w:ind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增强对安全日志的关联分析能力和深度挖掘能力，通过AI、UEBA等新技术的运用，发现新型威胁、潜伏威胁与未知威胁；</w:t>
      </w:r>
    </w:p>
    <w:p>
      <w:pPr>
        <w:pStyle w:val="89"/>
        <w:numPr>
          <w:ilvl w:val="1"/>
          <w:numId w:val="9"/>
        </w:numPr>
        <w:ind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实现安全风险实时可感知，风险多维度可视化监控，可以定期查看整体网络安全态势报告、资产与脆弱性风险报告、运维报告等；</w:t>
      </w:r>
    </w:p>
    <w:p>
      <w:pPr>
        <w:spacing w:line="360" w:lineRule="auto"/>
        <w:ind w:firstLine="105"/>
      </w:pPr>
      <w:r>
        <w:rPr>
          <w:rFonts w:hint="eastAsia"/>
          <w:color w:val="000000" w:themeColor="text1"/>
          <w14:textFill>
            <w14:solidFill>
              <w14:schemeClr w14:val="tx1"/>
            </w14:solidFill>
          </w14:textFill>
        </w:rPr>
        <w:t>形成自动化联动处置能力，针对高危事件与已失陷主机，能提前预设剧本，联动</w:t>
      </w:r>
      <w:r>
        <w:t>终端检测与响应系统</w:t>
      </w:r>
      <w:r>
        <w:rPr>
          <w:rFonts w:hint="eastAsia"/>
          <w:color w:val="000000" w:themeColor="text1"/>
          <w14:textFill>
            <w14:solidFill>
              <w14:schemeClr w14:val="tx1"/>
            </w14:solidFill>
          </w14:textFill>
        </w:rPr>
        <w:t>等安全系统自动化执行策略，缩短MTTR时间。</w:t>
      </w:r>
    </w:p>
    <w:p>
      <w:pPr>
        <w:spacing w:line="360" w:lineRule="auto"/>
      </w:pPr>
    </w:p>
    <w:p>
      <w:pPr>
        <w:pStyle w:val="3"/>
        <w:tabs>
          <w:tab w:val="clear" w:pos="432"/>
        </w:tabs>
        <w:spacing w:line="360" w:lineRule="auto"/>
        <w:rPr>
          <w:rFonts w:ascii="黑体" w:hAnsi="黑体" w:cs="黑体"/>
          <w:b w:val="0"/>
          <w:sz w:val="32"/>
          <w:szCs w:val="32"/>
          <w:lang w:eastAsia="zh-CN"/>
        </w:rPr>
      </w:pPr>
      <w:r>
        <w:rPr>
          <w:rFonts w:hint="eastAsia" w:ascii="黑体" w:hAnsi="黑体" w:cs="黑体"/>
          <w:b w:val="0"/>
          <w:sz w:val="32"/>
          <w:szCs w:val="32"/>
          <w:lang w:eastAsia="zh-CN"/>
        </w:rPr>
        <w:t>项目初步方案</w:t>
      </w:r>
    </w:p>
    <w:p>
      <w:pPr>
        <w:pStyle w:val="4"/>
        <w:tabs>
          <w:tab w:val="left" w:pos="720"/>
          <w:tab w:val="clear" w:pos="840"/>
        </w:tabs>
        <w:spacing w:line="360" w:lineRule="auto"/>
        <w:ind w:hanging="859"/>
        <w:rPr>
          <w:rFonts w:ascii="Heiti SC Light" w:hAnsi="Heiti SC Light" w:eastAsia="Heiti SC Light" w:cs="仿宋"/>
          <w:b w:val="0"/>
          <w:bCs w:val="0"/>
          <w:color w:val="000000" w:themeColor="text1"/>
          <w:lang w:eastAsia="zh-CN"/>
          <w14:textFill>
            <w14:solidFill>
              <w14:schemeClr w14:val="tx1"/>
            </w14:solidFill>
          </w14:textFill>
        </w:rPr>
      </w:pPr>
      <w:r>
        <w:rPr>
          <w:rFonts w:hint="eastAsia" w:ascii="Heiti SC Light" w:hAnsi="Heiti SC Light" w:eastAsia="Heiti SC Light" w:cs="仿宋"/>
          <w:b w:val="0"/>
          <w:bCs w:val="0"/>
          <w:color w:val="000000" w:themeColor="text1"/>
          <w:lang w:eastAsia="zh-CN"/>
          <w14:textFill>
            <w14:solidFill>
              <w14:schemeClr w14:val="tx1"/>
            </w14:solidFill>
          </w14:textFill>
        </w:rPr>
        <w:t>建设目标</w:t>
      </w:r>
    </w:p>
    <w:p>
      <w:pPr>
        <w:numPr>
          <w:ilvl w:val="0"/>
          <w:numId w:val="10"/>
        </w:numPr>
        <w:spacing w:line="360" w:lineRule="auto"/>
        <w:ind w:firstLine="241" w:firstLineChars="100"/>
        <w:rPr>
          <w:b/>
          <w:bCs/>
        </w:rPr>
      </w:pPr>
      <w:r>
        <w:rPr>
          <w:rFonts w:hint="eastAsia"/>
          <w:b/>
          <w:bCs/>
        </w:rPr>
        <w:t>安全检测与响应管理平台建设目标</w:t>
      </w:r>
    </w:p>
    <w:p>
      <w:pPr>
        <w:spacing w:before="120" w:after="120"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本次安全运营体系建设以</w:t>
      </w:r>
      <w:r>
        <w:rPr>
          <w:rFonts w:hint="eastAsia"/>
          <w:color w:val="000000" w:themeColor="text1"/>
          <w:lang w:eastAsia="zh-CN"/>
          <w14:textFill>
            <w14:solidFill>
              <w14:schemeClr w14:val="tx1"/>
            </w14:solidFill>
          </w14:textFill>
        </w:rPr>
        <w:t>南山区医疗集团总部</w:t>
      </w:r>
      <w:r>
        <w:rPr>
          <w:rFonts w:hint="eastAsia"/>
          <w:color w:val="000000" w:themeColor="text1"/>
          <w14:textFill>
            <w14:solidFill>
              <w14:schemeClr w14:val="tx1"/>
            </w14:solidFill>
          </w14:textFill>
        </w:rPr>
        <w:t>的网络、重要服务器、核心业务系统等IT资产为保护对象，依据网络安全法、网络安全等级保护要求和相关标准规范，围绕实战化的威胁对抗能力，以效果为核心、以闭环为目的，聚焦检测能力提升，实现精准高效的效果。立足“人员、流程、工具、服务”，构建“3+1+3”体系（即3类用户场景+1类重要配套服务+3项核心能力），实现“让威胁对抗更高效，让运营工作更省心”的目标。建立</w:t>
      </w:r>
      <w:r>
        <w:rPr>
          <w:rFonts w:hint="eastAsia"/>
          <w:color w:val="000000" w:themeColor="text1"/>
          <w:lang w:eastAsia="zh-CN"/>
          <w14:textFill>
            <w14:solidFill>
              <w14:schemeClr w14:val="tx1"/>
            </w14:solidFill>
          </w14:textFill>
        </w:rPr>
        <w:t>南山区医疗集团总部</w:t>
      </w:r>
      <w:r>
        <w:rPr>
          <w:rFonts w:hint="eastAsia"/>
          <w:color w:val="000000" w:themeColor="text1"/>
          <w14:textFill>
            <w14:solidFill>
              <w14:schemeClr w14:val="tx1"/>
            </w14:solidFill>
          </w14:textFill>
        </w:rPr>
        <w:t>网络信息化与组织架构相配套的安全运营中心，实现网络安全从被动向主动、从静态到动态、从单点到整体、从粗放到精准防御的转变，全方位全天候的保障网络信息系统安全可靠，全面监测和阻断已知网络攻击和未知入侵渗透风险，防范来自外部和内部多类型攻击，以安全保发展，以发展促安全，推动</w:t>
      </w:r>
      <w:r>
        <w:rPr>
          <w:rFonts w:hint="eastAsia"/>
          <w:color w:val="000000" w:themeColor="text1"/>
          <w:lang w:eastAsia="zh-CN"/>
          <w14:textFill>
            <w14:solidFill>
              <w14:schemeClr w14:val="tx1"/>
            </w14:solidFill>
          </w14:textFill>
        </w:rPr>
        <w:t>南山区医疗集团总部</w:t>
      </w:r>
      <w:r>
        <w:rPr>
          <w:rFonts w:hint="eastAsia"/>
          <w:color w:val="000000" w:themeColor="text1"/>
          <w14:textFill>
            <w14:solidFill>
              <w14:schemeClr w14:val="tx1"/>
            </w14:solidFill>
          </w14:textFill>
        </w:rPr>
        <w:t>网络安全发展迈向新的高度。</w:t>
      </w:r>
    </w:p>
    <w:p>
      <w:pPr>
        <w:numPr>
          <w:ilvl w:val="0"/>
          <w:numId w:val="10"/>
        </w:numPr>
        <w:spacing w:line="360" w:lineRule="auto"/>
        <w:ind w:firstLine="241" w:firstLineChars="100"/>
        <w:rPr>
          <w:b/>
          <w:bCs/>
        </w:rPr>
      </w:pPr>
      <w:r>
        <w:rPr>
          <w:rFonts w:hint="eastAsia"/>
          <w:b/>
          <w:bCs/>
        </w:rPr>
        <w:t>终端安全管理系统建设目标</w:t>
      </w:r>
    </w:p>
    <w:p>
      <w:pPr>
        <w:spacing w:before="120" w:after="120" w:line="360" w:lineRule="auto"/>
        <w:ind w:firstLine="420"/>
      </w:pPr>
      <w:r>
        <w:rPr>
          <w:rFonts w:hint="eastAsia"/>
          <w:color w:val="000000" w:themeColor="text1"/>
          <w14:textFill>
            <w14:solidFill>
              <w14:schemeClr w14:val="tx1"/>
            </w14:solidFill>
          </w14:textFill>
        </w:rPr>
        <w:t>通过</w:t>
      </w:r>
      <w:r>
        <w:t>终端检测与响应系统</w:t>
      </w:r>
      <w:r>
        <w:rPr>
          <w:rFonts w:hint="eastAsia"/>
          <w:color w:val="000000" w:themeColor="text1"/>
          <w14:textFill>
            <w14:solidFill>
              <w14:schemeClr w14:val="tx1"/>
            </w14:solidFill>
          </w14:textFill>
        </w:rPr>
        <w:t>的全面部署应用，提供多安全平台联动机制，</w:t>
      </w:r>
      <w:r>
        <w:t>终端检测与响应系统</w:t>
      </w:r>
      <w:r>
        <w:rPr>
          <w:rFonts w:hint="eastAsia"/>
          <w:color w:val="000000" w:themeColor="text1"/>
          <w14:textFill>
            <w14:solidFill>
              <w14:schemeClr w14:val="tx1"/>
            </w14:solidFill>
          </w14:textFill>
        </w:rPr>
        <w:t>可与XDR安全检测与响应管理平台进行联动，实现威胁情报的共享与接收效果。</w:t>
      </w:r>
      <w:r>
        <w:t>终端检测与响应系统</w:t>
      </w:r>
      <w:r>
        <w:rPr>
          <w:rFonts w:hint="eastAsia"/>
          <w:color w:val="000000" w:themeColor="text1"/>
          <w14:textFill>
            <w14:solidFill>
              <w14:schemeClr w14:val="tx1"/>
            </w14:solidFill>
          </w14:textFill>
        </w:rPr>
        <w:t>在收到其他设备发送的威胁情报时，可第一时间进行隔离处置，有效缩短威胁响应时间，智能化的处置方式，大大减少管理人员维护工作量、提升安全防护水平，并全面形成多平台立体防御壁垒。</w:t>
      </w:r>
    </w:p>
    <w:p>
      <w:pPr>
        <w:pStyle w:val="4"/>
        <w:tabs>
          <w:tab w:val="left" w:pos="720"/>
          <w:tab w:val="clear" w:pos="840"/>
        </w:tabs>
        <w:spacing w:line="360" w:lineRule="auto"/>
        <w:ind w:hanging="859"/>
        <w:rPr>
          <w:rFonts w:ascii="Heiti SC Light" w:hAnsi="Heiti SC Light" w:eastAsia="Heiti SC Light" w:cs="仿宋"/>
          <w:b w:val="0"/>
          <w:bCs w:val="0"/>
          <w:color w:val="000000" w:themeColor="text1"/>
          <w:lang w:eastAsia="zh-CN"/>
          <w14:textFill>
            <w14:solidFill>
              <w14:schemeClr w14:val="tx1"/>
            </w14:solidFill>
          </w14:textFill>
        </w:rPr>
      </w:pPr>
      <w:r>
        <w:rPr>
          <w:rFonts w:hint="eastAsia" w:ascii="Heiti SC Light" w:hAnsi="Heiti SC Light" w:eastAsia="Heiti SC Light" w:cs="仿宋"/>
          <w:b w:val="0"/>
          <w:bCs w:val="0"/>
          <w:color w:val="000000" w:themeColor="text1"/>
          <w:lang w:eastAsia="zh-CN"/>
          <w14:textFill>
            <w14:solidFill>
              <w14:schemeClr w14:val="tx1"/>
            </w14:solidFill>
          </w14:textFill>
        </w:rPr>
        <w:t>方案设计</w:t>
      </w:r>
    </w:p>
    <w:p>
      <w:pPr>
        <w:numPr>
          <w:ilvl w:val="0"/>
          <w:numId w:val="11"/>
        </w:numPr>
        <w:spacing w:line="360" w:lineRule="auto"/>
        <w:rPr>
          <w:b/>
          <w:bCs/>
        </w:rPr>
      </w:pPr>
      <w:r>
        <w:rPr>
          <w:rFonts w:hint="eastAsia"/>
          <w:b/>
          <w:bCs/>
        </w:rPr>
        <w:t>安全检测与响应管理平台方案设计</w:t>
      </w:r>
    </w:p>
    <w:p>
      <w:pPr>
        <w:pStyle w:val="2"/>
        <w:spacing w:line="360" w:lineRule="auto"/>
        <w:ind w:firstLine="480"/>
      </w:pPr>
      <w:r>
        <w:rPr>
          <w:rFonts w:hint="eastAsia"/>
        </w:rPr>
        <w:t>通过</w:t>
      </w:r>
      <w:r>
        <w:rPr>
          <w:rFonts w:hint="eastAsia"/>
          <w:lang w:val="en-US"/>
        </w:rPr>
        <w:t>在核心交换机部署</w:t>
      </w:r>
      <w:r>
        <w:rPr>
          <w:rFonts w:hint="eastAsia"/>
        </w:rPr>
        <w:t>流量采集</w:t>
      </w:r>
      <w:r>
        <w:rPr>
          <w:rFonts w:hint="eastAsia"/>
          <w:lang w:val="en-US"/>
        </w:rPr>
        <w:t>探针</w:t>
      </w:r>
      <w:r>
        <w:rPr>
          <w:rFonts w:hint="eastAsia"/>
        </w:rPr>
        <w:t>与</w:t>
      </w:r>
      <w:r>
        <w:rPr>
          <w:rFonts w:hint="eastAsia"/>
          <w:lang w:val="en-US"/>
        </w:rPr>
        <w:t>终端/服务器部署</w:t>
      </w:r>
      <w:r>
        <w:rPr>
          <w:rFonts w:hint="eastAsia"/>
        </w:rPr>
        <w:t>端点采集工具将关键数据聚合</w:t>
      </w:r>
      <w:r>
        <w:rPr>
          <w:rFonts w:hint="eastAsia"/>
          <w:lang w:val="en-US"/>
        </w:rPr>
        <w:t>上传</w:t>
      </w:r>
      <w:r>
        <w:rPr>
          <w:rFonts w:hint="eastAsia"/>
        </w:rPr>
        <w:t>XDR平台，通过云端专家服务提供威胁狩猎能力。</w:t>
      </w:r>
    </w:p>
    <w:p>
      <w:pPr>
        <w:pStyle w:val="5"/>
        <w:spacing w:line="360" w:lineRule="auto"/>
      </w:pPr>
      <w:bookmarkStart w:id="7" w:name="_Toc1456"/>
      <w:bookmarkStart w:id="8" w:name="_Toc29061"/>
      <w:r>
        <w:rPr>
          <w:rFonts w:hint="eastAsia"/>
        </w:rPr>
        <w:t>安全运营中心架构模型</w:t>
      </w:r>
      <w:bookmarkEnd w:id="7"/>
      <w:bookmarkEnd w:id="8"/>
    </w:p>
    <w:p>
      <w:pPr>
        <w:spacing w:line="360" w:lineRule="auto"/>
        <w:rPr>
          <w:rFonts w:ascii="微软雅黑" w:hAnsi="微软雅黑" w:eastAsia="微软雅黑" w:cs="微软雅黑"/>
        </w:rPr>
      </w:pPr>
      <w:r>
        <w:drawing>
          <wp:inline distT="0" distB="0" distL="0" distR="0">
            <wp:extent cx="5543550" cy="2510155"/>
            <wp:effectExtent l="0" t="0" r="635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543550" cy="2510155"/>
                    </a:xfrm>
                    <a:prstGeom prst="rect">
                      <a:avLst/>
                    </a:prstGeom>
                  </pic:spPr>
                </pic:pic>
              </a:graphicData>
            </a:graphic>
          </wp:inline>
        </w:drawing>
      </w:r>
    </w:p>
    <w:p>
      <w:pPr>
        <w:spacing w:before="120" w:after="120"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图示： 安全运营中心框架</w:t>
      </w:r>
    </w:p>
    <w:p>
      <w:pPr>
        <w:pStyle w:val="5"/>
        <w:spacing w:line="360" w:lineRule="auto"/>
      </w:pPr>
      <w:bookmarkStart w:id="9" w:name="_Toc4139"/>
      <w:r>
        <w:rPr>
          <w:rFonts w:hint="eastAsia"/>
        </w:rPr>
        <w:t>安全运营中心核心能力说明</w:t>
      </w:r>
      <w:bookmarkEnd w:id="9"/>
    </w:p>
    <w:p>
      <w:pPr>
        <w:pStyle w:val="89"/>
        <w:ind w:firstLine="0" w:firstLineChars="0"/>
        <w:rPr>
          <w:rFonts w:ascii="微软雅黑" w:hAnsi="微软雅黑" w:eastAsia="微软雅黑" w:cs="微软雅黑"/>
          <w:szCs w:val="24"/>
        </w:rPr>
      </w:pPr>
      <w:r>
        <w:rPr>
          <w:rFonts w:hint="eastAsia" w:ascii="微软雅黑" w:hAnsi="微软雅黑" w:eastAsia="微软雅黑" w:cs="微软雅黑"/>
        </w:rPr>
        <w:drawing>
          <wp:inline distT="0" distB="0" distL="114300" distR="114300">
            <wp:extent cx="5537835" cy="2647315"/>
            <wp:effectExtent l="0" t="0" r="1206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537835" cy="2647315"/>
                    </a:xfrm>
                    <a:prstGeom prst="rect">
                      <a:avLst/>
                    </a:prstGeom>
                    <a:noFill/>
                    <a:ln>
                      <a:noFill/>
                    </a:ln>
                  </pic:spPr>
                </pic:pic>
              </a:graphicData>
            </a:graphic>
          </wp:inline>
        </w:drawing>
      </w:r>
    </w:p>
    <w:p>
      <w:pPr>
        <w:pStyle w:val="6"/>
        <w:spacing w:line="360" w:lineRule="auto"/>
      </w:pPr>
      <w:bookmarkStart w:id="10" w:name="_Toc186"/>
      <w:r>
        <w:rPr>
          <w:rFonts w:hint="eastAsia"/>
        </w:rPr>
        <w:t>资产管理与攻击面管理</w:t>
      </w:r>
      <w:bookmarkEnd w:id="10"/>
    </w:p>
    <w:p>
      <w:pPr>
        <w:pStyle w:val="7"/>
        <w:spacing w:line="360" w:lineRule="auto"/>
        <w:rPr>
          <w:b/>
          <w:bCs/>
        </w:rPr>
      </w:pPr>
      <w:r>
        <w:rPr>
          <w:rFonts w:hint="eastAsia"/>
          <w:b/>
          <w:bCs/>
        </w:rPr>
        <w:t>资产管理</w:t>
      </w:r>
    </w:p>
    <w:p>
      <w:pPr>
        <w:spacing w:before="120" w:after="120"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基于安全运营平台（XDR）的资产管理可以解决资产分散、不集中等一系列管理问题。具有识别IT资产、梳理访问关系和建立责任人员组织架构的功能，实现资产的统一管理。其中，可识别的资产类型，包含服务器、终端、网络设备、物联网设备、移动设备和网络安全产品等。</w:t>
      </w:r>
    </w:p>
    <w:p>
      <w:pPr>
        <w:spacing w:before="120" w:after="120"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安全运营平台通过网络侧，端点侧和第三方API获取以及手动数据接入来识别资产。通过主动扫描识别、被动流量识别和用户手动三种方式导入资产列表，结合用户页面操作资产信息，对资产进行关联、合并、去重和除错等处理，补充更新资产数据信息。</w:t>
      </w:r>
    </w:p>
    <w:p>
      <w:pPr>
        <w:spacing w:before="120" w:after="120"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73675" cy="3034665"/>
            <wp:effectExtent l="0" t="0" r="9525" b="63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a:stretch>
                      <a:fillRect/>
                    </a:stretch>
                  </pic:blipFill>
                  <pic:spPr>
                    <a:xfrm>
                      <a:off x="0" y="0"/>
                      <a:ext cx="5273675" cy="3034665"/>
                    </a:xfrm>
                    <a:prstGeom prst="rect">
                      <a:avLst/>
                    </a:prstGeom>
                    <a:noFill/>
                    <a:ln>
                      <a:noFill/>
                    </a:ln>
                  </pic:spPr>
                </pic:pic>
              </a:graphicData>
            </a:graphic>
          </wp:inline>
        </w:drawing>
      </w:r>
    </w:p>
    <w:p>
      <w:pPr>
        <w:spacing w:before="120" w:after="120"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资产管理</w:t>
      </w:r>
    </w:p>
    <w:p>
      <w:pPr>
        <w:spacing w:before="120" w:after="120"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主机资产可以实现识别操作系统、开放的服务与端口、在线离线状态、资产类型。支持业务/服务器资产分类，可定义IP地址、所属资产组、主机名、责任人、责任人邮箱、所属业务、MAC、地理位置、操作系统、服务与端口、最近上线等信息。</w:t>
      </w:r>
    </w:p>
    <w:p>
      <w:pPr>
        <w:spacing w:before="120" w:after="120"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资产详情可以展示资产基础信息包括关联IP、设备信息、地理位置、资产责任人、操作系统、虚拟机信息；开放端口信息、账号信息及登录历史、应用软件信息、硬件信息及数据来源等。</w:t>
      </w:r>
    </w:p>
    <w:p>
      <w:pPr>
        <w:spacing w:before="120" w:after="120"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责任人管理支持展示责任人风险资产数及风险标签，可编辑人员部门归属。</w:t>
      </w:r>
    </w:p>
    <w:p>
      <w:pPr>
        <w:pStyle w:val="7"/>
        <w:spacing w:line="360" w:lineRule="auto"/>
        <w:rPr>
          <w:b/>
          <w:bCs/>
        </w:rPr>
      </w:pPr>
      <w:bookmarkStart w:id="11" w:name="_Toc13651"/>
      <w:r>
        <w:rPr>
          <w:rFonts w:hint="eastAsia"/>
          <w:b/>
          <w:bCs/>
        </w:rPr>
        <w:t>攻击面管理</w:t>
      </w:r>
      <w:bookmarkEnd w:id="11"/>
    </w:p>
    <w:p>
      <w:pPr>
        <w:spacing w:before="120" w:after="120"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从攻击者视角看来，能够被攻击者利用以发起攻击，进而对业务造成安全风险的所有攻击点，都是攻击面管理的内容。</w:t>
      </w:r>
    </w:p>
    <w:p>
      <w:pPr>
        <w:spacing w:before="120" w:after="120"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传统自下而上的设计受限于采集能力，只能根据采集到的内容被动分析和响应；XDR平台采用自上而下的设计思路，深度洞察攻击面，并根据洞察结果主动提升检测和分析能力，使攻击面管理更主动、更全面、更准确。以攻击视角进行深度资产威胁建模，通过动态运营，收缩暴露面威胁建模，找出攻击关键路径，组件延伸出可能的攻击和利用点，对应出解决方法，进行精准有效加固。</w:t>
      </w:r>
    </w:p>
    <w:p>
      <w:pPr>
        <w:spacing w:line="360" w:lineRule="auto"/>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66055" cy="2297430"/>
            <wp:effectExtent l="0" t="0" r="4445" b="127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1"/>
                    <a:stretch>
                      <a:fillRect/>
                    </a:stretch>
                  </pic:blipFill>
                  <pic:spPr>
                    <a:xfrm>
                      <a:off x="0" y="0"/>
                      <a:ext cx="5266055" cy="2297430"/>
                    </a:xfrm>
                    <a:prstGeom prst="rect">
                      <a:avLst/>
                    </a:prstGeom>
                    <a:noFill/>
                    <a:ln>
                      <a:noFill/>
                    </a:ln>
                  </pic:spPr>
                </pic:pic>
              </a:graphicData>
            </a:graphic>
          </wp:inline>
        </w:drawing>
      </w:r>
    </w:p>
    <w:p>
      <w:pPr>
        <w:spacing w:before="120" w:after="120"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XDR攻击面管理</w:t>
      </w:r>
    </w:p>
    <w:p>
      <w:pPr>
        <w:spacing w:before="120" w:after="120"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随着资产数量的增多，系统和应用漏洞频繁爆发，对资产漏洞进行识别与管理是保障业务安全的重要一环。XDR平台结合网络侧以及端点侧识别漏洞检测，能够全面的了解用户设备的真实漏洞情况。</w:t>
      </w:r>
    </w:p>
    <w:p>
      <w:pPr>
        <w:spacing w:before="120" w:after="120"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结合漏洞全生命周期机制，对漏洞全生命周期进行管理，包括：漏洞发现、漏洞验证、漏洞处置、漏洞复测，实现漏洞全生命周期状态闭环跟踪，确保重要的漏洞及时处置。具体过程定义如下：</w:t>
      </w:r>
    </w:p>
    <w:p>
      <w:pPr>
        <w:numPr>
          <w:ilvl w:val="0"/>
          <w:numId w:val="12"/>
        </w:numPr>
        <w:spacing w:before="120" w:after="120"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漏洞发现：</w:t>
      </w:r>
      <w:r>
        <w:rPr>
          <w:rFonts w:hint="eastAsia"/>
          <w:color w:val="000000" w:themeColor="text1"/>
          <w:lang w:val="zh-CN"/>
          <w14:textFill>
            <w14:solidFill>
              <w14:schemeClr w14:val="tx1"/>
            </w14:solidFill>
          </w14:textFill>
        </w:rPr>
        <w:t>能够主动地对系统、应用层、中间件、数据库等漏洞检测。</w:t>
      </w:r>
    </w:p>
    <w:p>
      <w:pPr>
        <w:numPr>
          <w:ilvl w:val="0"/>
          <w:numId w:val="12"/>
        </w:numPr>
        <w:spacing w:before="120" w:after="120"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漏洞验证：</w:t>
      </w:r>
      <w:r>
        <w:rPr>
          <w:rFonts w:hint="eastAsia"/>
          <w:color w:val="000000" w:themeColor="text1"/>
          <w:lang w:val="zh-CN"/>
          <w14:textFill>
            <w14:solidFill>
              <w14:schemeClr w14:val="tx1"/>
            </w14:solidFill>
          </w14:textFill>
        </w:rPr>
        <w:t>能够对紧急漏洞进行排查，主动检测、网络安全设备、主机网络安全管理软件、网络安全漏洞发现算</w:t>
      </w:r>
      <w:r>
        <w:rPr>
          <w:rFonts w:hint="eastAsia"/>
          <w:color w:val="000000" w:themeColor="text1"/>
          <w14:textFill>
            <w14:solidFill>
              <w14:schemeClr w14:val="tx1"/>
            </w14:solidFill>
          </w14:textFill>
        </w:rPr>
        <w:t>;</w:t>
      </w:r>
      <w:r>
        <w:rPr>
          <w:rFonts w:hint="eastAsia"/>
          <w:color w:val="000000" w:themeColor="text1"/>
          <w:lang w:val="zh-CN"/>
          <w14:textFill>
            <w14:solidFill>
              <w14:schemeClr w14:val="tx1"/>
            </w14:solidFill>
          </w14:textFill>
        </w:rPr>
        <w:t>法等来源的漏洞信息进行自动化的或手工的验证，确定漏洞的有效性。</w:t>
      </w:r>
    </w:p>
    <w:p>
      <w:pPr>
        <w:numPr>
          <w:ilvl w:val="0"/>
          <w:numId w:val="12"/>
        </w:numPr>
        <w:spacing w:before="120" w:after="120"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漏洞处置：</w:t>
      </w:r>
      <w:r>
        <w:rPr>
          <w:rFonts w:hint="eastAsia"/>
          <w:color w:val="000000" w:themeColor="text1"/>
          <w:lang w:val="zh-CN"/>
          <w14:textFill>
            <w14:solidFill>
              <w14:schemeClr w14:val="tx1"/>
            </w14:solidFill>
          </w14:textFill>
        </w:rPr>
        <w:t>对发现的漏洞提供处置建议，提供可落地的漏洞修复方案，包括：漏洞修复步骤、补丁下载链接等，漏洞处置方案支持自定义。</w:t>
      </w:r>
    </w:p>
    <w:p>
      <w:pPr>
        <w:numPr>
          <w:ilvl w:val="0"/>
          <w:numId w:val="12"/>
        </w:numPr>
        <w:spacing w:before="120" w:after="120"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漏洞复测：</w:t>
      </w:r>
      <w:r>
        <w:rPr>
          <w:rFonts w:hint="eastAsia"/>
          <w:color w:val="000000" w:themeColor="text1"/>
          <w:lang w:val="zh-CN"/>
          <w14:textFill>
            <w14:solidFill>
              <w14:schemeClr w14:val="tx1"/>
            </w14:solidFill>
          </w14:textFill>
        </w:rPr>
        <w:t>当漏洞修复后，对漏洞进行复测，确定漏洞是否已被成功修复。</w:t>
      </w:r>
    </w:p>
    <w:p>
      <w:pPr>
        <w:spacing w:line="360" w:lineRule="auto"/>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71770" cy="2554605"/>
            <wp:effectExtent l="0" t="0" r="11430" b="1079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2"/>
                    <a:stretch>
                      <a:fillRect/>
                    </a:stretch>
                  </pic:blipFill>
                  <pic:spPr>
                    <a:xfrm>
                      <a:off x="0" y="0"/>
                      <a:ext cx="5271770" cy="2554605"/>
                    </a:xfrm>
                    <a:prstGeom prst="rect">
                      <a:avLst/>
                    </a:prstGeom>
                    <a:noFill/>
                    <a:ln>
                      <a:noFill/>
                    </a:ln>
                  </pic:spPr>
                </pic:pic>
              </a:graphicData>
            </a:graphic>
          </wp:inline>
        </w:drawing>
      </w:r>
    </w:p>
    <w:p>
      <w:pPr>
        <w:spacing w:before="120" w:after="120"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XDR漏洞管理</w:t>
      </w:r>
    </w:p>
    <w:p>
      <w:pPr>
        <w:spacing w:before="120" w:after="120"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脆弱性管理页面展现终端遥测及网络遥测扫描到的资产脆弱性进行展示，可对资风险产类型、风险等级及资产名称、责任人、组名等标签进行筛选，通过图表进行展示。</w:t>
      </w:r>
    </w:p>
    <w:p>
      <w:pPr>
        <w:spacing w:before="120" w:after="120" w:line="360" w:lineRule="auto"/>
        <w:ind w:firstLine="420"/>
        <w:rPr>
          <w:rFonts w:ascii="微软雅黑" w:hAnsi="微软雅黑" w:eastAsia="微软雅黑" w:cs="微软雅黑"/>
          <w:lang w:eastAsia="zh-Hans"/>
        </w:rPr>
      </w:pPr>
      <w:r>
        <w:rPr>
          <w:rFonts w:hint="eastAsia"/>
          <w:color w:val="000000" w:themeColor="text1"/>
          <w14:textFill>
            <w14:solidFill>
              <w14:schemeClr w14:val="tx1"/>
            </w14:solidFill>
          </w14:textFill>
        </w:rPr>
        <w:t>同时支持对热点事件的展示，以时间轴展示，可展现漏洞名称、风险等级、CVE编号、可检测情况，影响资产、威胁标签、爆发时间及风险评估。对热点事件包含的漏洞，可以展示危害程度、漏洞爆发时间、CVE-ID、CNNVD-ID、威胁标签、漏洞介绍、影响组件、情报来源、漏洞活跃趋势及修复处置建议。</w:t>
      </w:r>
    </w:p>
    <w:p>
      <w:pPr>
        <w:pStyle w:val="6"/>
        <w:spacing w:line="360" w:lineRule="auto"/>
      </w:pPr>
      <w:bookmarkStart w:id="12" w:name="_Toc12854"/>
      <w:r>
        <w:rPr>
          <w:rFonts w:hint="eastAsia"/>
        </w:rPr>
        <w:t>检测调查能力</w:t>
      </w:r>
      <w:bookmarkEnd w:id="12"/>
    </w:p>
    <w:p>
      <w:pPr>
        <w:pStyle w:val="92"/>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XDR平台的威胁检测能力体现在终端侧能力、网络侧能力、平台能力三部分：</w:t>
      </w:r>
    </w:p>
    <w:p>
      <w:pPr>
        <w:pStyle w:val="7"/>
        <w:spacing w:line="360" w:lineRule="auto"/>
        <w:rPr>
          <w:b/>
          <w:bCs/>
        </w:rPr>
      </w:pPr>
      <w:r>
        <w:rPr>
          <w:rFonts w:hint="eastAsia"/>
          <w:b/>
          <w:bCs/>
        </w:rPr>
        <w:t>平台能力</w:t>
      </w:r>
    </w:p>
    <w:p>
      <w:pPr>
        <w:pStyle w:val="93"/>
        <w:widowControl w:val="0"/>
        <w:jc w:val="both"/>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XDR平台具备聚合分析流量和端点一手数据的能力，同时可通过微剧本半自动化响应事件，实现少量精准的检测效果、自动高效的处置效果，也是构建实战化威胁检测相应体系的核心。通过网侧流量+端侧行为数据以及第三方日志汇聚分析，平台提供的攻击链溯源图能准确还原攻击故事线，对恶意入侵、异常外联、侦查、横向移动、数据外泄等每个阶段发起的所有安全事件和造成的影响进行全面的剖析，形成具有承上启下的安全事件关联集，并围绕被攻击者的攻击链视角进行呈现和告警。同时SaaS能力赋能，将云端的威胁情报、专家能力下发到用户网络和终端，在当前安全“唯快不破”的态势下，云端能力即时更新，快速下发到本地，扭转了以往防落后于攻的不利局面，使得用户能够在安全对抗中抢占先机。云端专家7*24小时值守，也为</w:t>
      </w:r>
      <w:r>
        <w:rPr>
          <w:rFonts w:hint="eastAsia"/>
          <w:color w:val="000000" w:themeColor="text1"/>
          <w:kern w:val="0"/>
          <w:lang w:eastAsia="zh-CN"/>
          <w14:textFill>
            <w14:solidFill>
              <w14:schemeClr w14:val="tx1"/>
            </w14:solidFill>
          </w14:textFill>
        </w:rPr>
        <w:t>南山区医疗集团总部</w:t>
      </w:r>
      <w:r>
        <w:rPr>
          <w:rFonts w:hint="eastAsia"/>
          <w:color w:val="000000" w:themeColor="text1"/>
          <w:kern w:val="0"/>
          <w14:textFill>
            <w14:solidFill>
              <w14:schemeClr w14:val="tx1"/>
            </w14:solidFill>
          </w14:textFill>
        </w:rPr>
        <w:t>安全运营大大降低了人力成本和门槛，给</w:t>
      </w:r>
      <w:r>
        <w:rPr>
          <w:rFonts w:hint="eastAsia"/>
          <w:color w:val="000000" w:themeColor="text1"/>
          <w:kern w:val="0"/>
          <w:lang w:eastAsia="zh-CN"/>
          <w14:textFill>
            <w14:solidFill>
              <w14:schemeClr w14:val="tx1"/>
            </w14:solidFill>
          </w14:textFill>
        </w:rPr>
        <w:t>南山区医疗集团总部</w:t>
      </w:r>
      <w:r>
        <w:rPr>
          <w:rFonts w:hint="eastAsia"/>
          <w:color w:val="000000" w:themeColor="text1"/>
          <w:kern w:val="0"/>
          <w14:textFill>
            <w14:solidFill>
              <w14:schemeClr w14:val="tx1"/>
            </w14:solidFill>
          </w14:textFill>
        </w:rPr>
        <w:t>带来了省时、省力、省心的用户价值。</w:t>
      </w:r>
    </w:p>
    <w:p>
      <w:pPr>
        <w:pStyle w:val="7"/>
        <w:spacing w:line="360" w:lineRule="auto"/>
        <w:rPr>
          <w:b/>
          <w:bCs/>
        </w:rPr>
      </w:pPr>
      <w:r>
        <w:rPr>
          <w:rFonts w:hint="eastAsia"/>
          <w:b/>
          <w:bCs/>
        </w:rPr>
        <w:t>威胁检测引擎</w:t>
      </w:r>
    </w:p>
    <w:p>
      <w:pPr>
        <w:pStyle w:val="7"/>
        <w:numPr>
          <w:ilvl w:val="0"/>
          <w:numId w:val="13"/>
        </w:numPr>
        <w:tabs>
          <w:tab w:val="clear" w:pos="1008"/>
        </w:tabs>
        <w:spacing w:line="360" w:lineRule="auto"/>
        <w:rPr>
          <w:lang w:eastAsia="zh-CN"/>
        </w:rPr>
      </w:pPr>
      <w:r>
        <w:rPr>
          <w:rFonts w:hint="eastAsia"/>
          <w:lang w:eastAsia="zh-CN"/>
        </w:rPr>
        <w:t>基于特征规则的检测算法</w:t>
      </w:r>
    </w:p>
    <w:p>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由安全专家对入侵/攻击进行精准的特征提取和描述，形成规则。算法依据规则，来识别网络流量和主机中的攻击。该算法识别精准，误报少，可以广泛覆盖已知威胁。包括：账号安全检测、邮件安全检测、web攻击检测、漏洞攻击检测、C&amp;C检测、隐蔽隧道、恶意文件/软件检测等。</w:t>
      </w:r>
    </w:p>
    <w:p>
      <w:pPr>
        <w:pStyle w:val="7"/>
        <w:numPr>
          <w:ilvl w:val="0"/>
          <w:numId w:val="13"/>
        </w:numPr>
        <w:tabs>
          <w:tab w:val="clear" w:pos="1008"/>
        </w:tabs>
        <w:spacing w:line="360" w:lineRule="auto"/>
        <w:rPr>
          <w:lang w:eastAsia="zh-CN"/>
        </w:rPr>
      </w:pPr>
      <w:bookmarkStart w:id="13" w:name="_Toc48229136"/>
      <w:r>
        <w:rPr>
          <w:rFonts w:hint="eastAsia"/>
          <w:lang w:eastAsia="zh-CN"/>
        </w:rPr>
        <w:t>基于无监督学习的检测算法实现</w:t>
      </w:r>
      <w:bookmarkEnd w:id="13"/>
    </w:p>
    <w:p>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基于无监督学习的检测算法：使用机器学习、深度学习对主机数据、用户行为数据、和网络流量数据进行建模，建立正常行为基线，然后比对实时数据来检测异常行为。用于发现内部违规和高级别攻击。包括：异常行为检测和未知攻击路径检测。关联分析实现。</w:t>
      </w:r>
    </w:p>
    <w:p>
      <w:pPr>
        <w:pStyle w:val="7"/>
        <w:numPr>
          <w:ilvl w:val="0"/>
          <w:numId w:val="13"/>
        </w:numPr>
        <w:tabs>
          <w:tab w:val="clear" w:pos="1008"/>
        </w:tabs>
        <w:spacing w:line="360" w:lineRule="auto"/>
      </w:pPr>
      <w:r>
        <w:rPr>
          <w:rFonts w:hint="eastAsia"/>
        </w:rPr>
        <w:t>告警优化算法</w:t>
      </w:r>
    </w:p>
    <w:p>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告警优化功能的目的在于消除告警疲劳，防止真正的安全威胁淹没在海量的告警当中。原始安全告警与优化后的安全事件的比例为N：1。算法将各个安全设备、安全产品、安全系统、各厂商的安全算法模型上报的海量安全告警通过大数据关联分析将聚合、归并、关联、统一，并进行归并去重优化、白名单优化、攻击场景优化。可以大幅降低重复的、无效的、低危的告警数量，突出真正高危攻击，便于真正的风险能够及时处置闭环。从而消除告警疲劳，大幅降低事件处置工作量，提高其处置效率，从而提高安全威胁决策指挥能力。 </w:t>
      </w:r>
    </w:p>
    <w:p>
      <w:pPr>
        <w:pStyle w:val="7"/>
        <w:spacing w:line="360" w:lineRule="auto"/>
        <w:rPr>
          <w:b/>
          <w:bCs/>
        </w:rPr>
      </w:pPr>
      <w:r>
        <w:rPr>
          <w:rFonts w:hint="eastAsia"/>
          <w:b/>
          <w:bCs/>
        </w:rPr>
        <w:t>关联分析能力</w:t>
      </w:r>
    </w:p>
    <w:p>
      <w:pPr>
        <w:pStyle w:val="92"/>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XDR平台使用Flink CEP（Complex Event Processing复杂事件处理引擎）技术作为底层数据处理的核心，通过结合多种关联规则模板来实现复杂的CEP语义。将终端侧和网络侧收集的数据，与云端威胁情报、资产、时间等因子做复杂关联，最终生成平台侧的关联事件。</w:t>
      </w:r>
    </w:p>
    <w:p>
      <w:pPr>
        <w:pStyle w:val="92"/>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对与组件强加强的告警信息，平台提供可视化和高可见性，结合精准详尽的处置响应建议，帮助安全运营人员提高效率，显著降低了MTTD（Mean Time To Detect，平均检测时间）/MTTR（Mean Time To Response，平均响应时间）。</w:t>
      </w:r>
    </w:p>
    <w:p>
      <w:pPr>
        <w:pStyle w:val="92"/>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于组件弱加强的告警信息，平台通过多因子关联提升检测精度，有效降低告警误报量，针对原本单一网络侧或终端侧无法精准检测的攻击，如Webshell上传成功、RDP爆破成功等，基于E+N关联分析实现网络和终端数据相互印证，互为补充，大幅提升了检测精度。</w:t>
      </w:r>
    </w:p>
    <w:p>
      <w:pPr>
        <w:pStyle w:val="92"/>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对于组件弱加弱的告警信息，平台对于二者进行整合，提升了威胁检测的覆盖广度，无论是低危的自动化脚本攻击，还是高危的高级持续威胁，在XDR平台下都将无处遁形。</w:t>
      </w:r>
    </w:p>
    <w:p>
      <w:pPr>
        <w:pStyle w:val="7"/>
        <w:spacing w:line="360" w:lineRule="auto"/>
        <w:rPr>
          <w:b/>
          <w:bCs/>
        </w:rPr>
      </w:pPr>
      <w:r>
        <w:rPr>
          <w:rFonts w:hint="eastAsia"/>
          <w:b/>
          <w:bCs/>
        </w:rPr>
        <w:t>威胁定性</w:t>
      </w:r>
    </w:p>
    <w:p>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威胁定性：通过上下文、资产和脆弱性数据、威胁情报等数据进行大数据关联分析，对安全设备上报的海量告警数据进行威胁定性，确定威胁等级（区分事件和威胁）和主机失陷等级。并能够挖掘出攻击成功事件，包括暴力破解成功识别、Web攻击成功识别、漏洞攻击成功识别等。以上安全事件，和威胁检测算法的C&amp;C（DGA、隐蔽隧道通信），以及木马后门、勒索、挖矿、webshell等构建全面的安全事件/攻击成功识别。</w:t>
      </w:r>
    </w:p>
    <w:p>
      <w:pPr>
        <w:spacing w:line="360" w:lineRule="auto"/>
        <w:rPr>
          <w:rFonts w:ascii="微软雅黑" w:hAnsi="微软雅黑" w:eastAsia="微软雅黑" w:cs="微软雅黑"/>
        </w:rPr>
      </w:pPr>
      <w:r>
        <w:rPr>
          <w:rFonts w:hint="eastAsia" w:ascii="微软雅黑" w:hAnsi="微软雅黑" w:eastAsia="微软雅黑" w:cs="微软雅黑"/>
        </w:rPr>
        <w:drawing>
          <wp:inline distT="0" distB="0" distL="114300" distR="114300">
            <wp:extent cx="5391785" cy="2529840"/>
            <wp:effectExtent l="0" t="0" r="0" b="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13"/>
                    <a:srcRect t="12111"/>
                    <a:stretch>
                      <a:fillRect/>
                    </a:stretch>
                  </pic:blipFill>
                  <pic:spPr>
                    <a:xfrm>
                      <a:off x="0" y="0"/>
                      <a:ext cx="5391785" cy="2529840"/>
                    </a:xfrm>
                    <a:prstGeom prst="rect">
                      <a:avLst/>
                    </a:prstGeom>
                    <a:noFill/>
                    <a:ln w="9525">
                      <a:noFill/>
                    </a:ln>
                  </pic:spPr>
                </pic:pic>
              </a:graphicData>
            </a:graphic>
          </wp:inline>
        </w:drawing>
      </w:r>
    </w:p>
    <w:p>
      <w:pPr>
        <w:spacing w:line="360" w:lineRule="auto"/>
        <w:rPr>
          <w:rFonts w:ascii="微软雅黑" w:hAnsi="微软雅黑" w:eastAsia="微软雅黑" w:cs="微软雅黑"/>
        </w:rPr>
      </w:pPr>
      <w:r>
        <w:rPr>
          <w:rFonts w:hint="eastAsia" w:ascii="微软雅黑" w:hAnsi="微软雅黑" w:eastAsia="微软雅黑" w:cs="微软雅黑"/>
        </w:rPr>
        <w:drawing>
          <wp:inline distT="0" distB="0" distL="114300" distR="114300">
            <wp:extent cx="5452745" cy="2345690"/>
            <wp:effectExtent l="0" t="0" r="0" b="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4"/>
                    <a:srcRect t="12027"/>
                    <a:stretch>
                      <a:fillRect/>
                    </a:stretch>
                  </pic:blipFill>
                  <pic:spPr>
                    <a:xfrm>
                      <a:off x="0" y="0"/>
                      <a:ext cx="5452745" cy="2345690"/>
                    </a:xfrm>
                    <a:prstGeom prst="rect">
                      <a:avLst/>
                    </a:prstGeom>
                    <a:noFill/>
                    <a:ln w="9525">
                      <a:noFill/>
                    </a:ln>
                  </pic:spPr>
                </pic:pic>
              </a:graphicData>
            </a:graphic>
          </wp:inline>
        </w:drawing>
      </w:r>
    </w:p>
    <w:p>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如下表所示，各场景下的攻击成功识别，所用的数据源，以及算法模型简介。</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3303"/>
        <w:gridCol w:w="2269"/>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519" w:type="pct"/>
            <w:vAlign w:val="center"/>
          </w:tcPr>
          <w:p>
            <w:pPr>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场景</w:t>
            </w:r>
          </w:p>
        </w:tc>
        <w:tc>
          <w:tcPr>
            <w:tcW w:w="1938" w:type="pct"/>
            <w:vAlign w:val="center"/>
          </w:tcPr>
          <w:p>
            <w:pPr>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威胁子类型</w:t>
            </w:r>
          </w:p>
        </w:tc>
        <w:tc>
          <w:tcPr>
            <w:tcW w:w="1331" w:type="pct"/>
            <w:vAlign w:val="center"/>
          </w:tcPr>
          <w:p>
            <w:pPr>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数据源</w:t>
            </w:r>
          </w:p>
        </w:tc>
        <w:tc>
          <w:tcPr>
            <w:tcW w:w="1213" w:type="pct"/>
            <w:vAlign w:val="center"/>
          </w:tcPr>
          <w:p>
            <w:pPr>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安全分析方法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19" w:type="pct"/>
            <w:vMerge w:val="restar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账号爆破成功</w:t>
            </w:r>
          </w:p>
        </w:tc>
        <w:tc>
          <w:tcPr>
            <w:tcW w:w="1938"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暴力破解成功:SSH/SMB/FTP/RDP等常见服务。</w:t>
            </w:r>
          </w:p>
        </w:tc>
        <w:tc>
          <w:tcPr>
            <w:tcW w:w="1331"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主机/应用登录日志、流量日志</w:t>
            </w:r>
          </w:p>
        </w:tc>
        <w:tc>
          <w:tcPr>
            <w:tcW w:w="1213" w:type="pct"/>
            <w:vMerge w:val="restar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关联分析：</w:t>
            </w:r>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登录日志+攻击源IP关联；</w:t>
            </w:r>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登录日志+威胁情报关联；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19" w:type="pct"/>
            <w:vMerge w:val="continue"/>
            <w:vAlign w:val="center"/>
          </w:tcPr>
          <w:p>
            <w:pPr>
              <w:spacing w:line="360" w:lineRule="auto"/>
              <w:ind w:firstLine="480" w:firstLineChars="200"/>
              <w:rPr>
                <w:color w:val="000000" w:themeColor="text1"/>
                <w14:textFill>
                  <w14:solidFill>
                    <w14:schemeClr w14:val="tx1"/>
                  </w14:solidFill>
                </w14:textFill>
              </w:rPr>
            </w:pPr>
          </w:p>
        </w:tc>
        <w:tc>
          <w:tcPr>
            <w:tcW w:w="1938"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数据库暴力破解成功：Mysql、Oracle、MSsql</w:t>
            </w:r>
          </w:p>
        </w:tc>
        <w:tc>
          <w:tcPr>
            <w:tcW w:w="1331"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数据库日志、流量日志、</w:t>
            </w:r>
          </w:p>
        </w:tc>
        <w:tc>
          <w:tcPr>
            <w:tcW w:w="1213" w:type="pct"/>
            <w:vMerge w:val="continue"/>
            <w:vAlign w:val="center"/>
          </w:tcPr>
          <w:p>
            <w:pPr>
              <w:spacing w:line="360" w:lineRule="auto"/>
              <w:ind w:firstLine="480" w:firstLineChars="20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9" w:type="pct"/>
            <w:vMerge w:val="continue"/>
            <w:vAlign w:val="center"/>
          </w:tcPr>
          <w:p>
            <w:pPr>
              <w:spacing w:line="360" w:lineRule="auto"/>
              <w:ind w:firstLine="480" w:firstLineChars="200"/>
              <w:rPr>
                <w:color w:val="000000" w:themeColor="text1"/>
                <w14:textFill>
                  <w14:solidFill>
                    <w14:schemeClr w14:val="tx1"/>
                  </w14:solidFill>
                </w14:textFill>
              </w:rPr>
            </w:pPr>
          </w:p>
        </w:tc>
        <w:tc>
          <w:tcPr>
            <w:tcW w:w="1938"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Web后台账号爆破成功</w:t>
            </w:r>
          </w:p>
        </w:tc>
        <w:tc>
          <w:tcPr>
            <w:tcW w:w="1331"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web日志、流量日志、</w:t>
            </w:r>
          </w:p>
        </w:tc>
        <w:tc>
          <w:tcPr>
            <w:tcW w:w="1213" w:type="pct"/>
            <w:vMerge w:val="continue"/>
            <w:vAlign w:val="center"/>
          </w:tcPr>
          <w:p>
            <w:pPr>
              <w:spacing w:line="360" w:lineRule="auto"/>
              <w:ind w:firstLine="480" w:firstLineChars="20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9" w:type="pct"/>
            <w:vMerge w:val="restar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Web攻击成功</w:t>
            </w:r>
          </w:p>
        </w:tc>
        <w:tc>
          <w:tcPr>
            <w:tcW w:w="1938"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web组件漏洞攻击成功</w:t>
            </w:r>
          </w:p>
        </w:tc>
        <w:tc>
          <w:tcPr>
            <w:tcW w:w="1331" w:type="pct"/>
            <w:vMerge w:val="restar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告警日志、流量日志、web日志、数据库日志等</w:t>
            </w:r>
          </w:p>
        </w:tc>
        <w:tc>
          <w:tcPr>
            <w:tcW w:w="1213" w:type="pct"/>
            <w:vMerge w:val="restar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上下文关联分析</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多维数据关联分析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9" w:type="pct"/>
            <w:vMerge w:val="continue"/>
            <w:vAlign w:val="center"/>
          </w:tcPr>
          <w:p>
            <w:pPr>
              <w:spacing w:line="360" w:lineRule="auto"/>
              <w:ind w:firstLine="480" w:firstLineChars="200"/>
              <w:rPr>
                <w:color w:val="000000" w:themeColor="text1"/>
                <w14:textFill>
                  <w14:solidFill>
                    <w14:schemeClr w14:val="tx1"/>
                  </w14:solidFill>
                </w14:textFill>
              </w:rPr>
            </w:pPr>
          </w:p>
        </w:tc>
        <w:tc>
          <w:tcPr>
            <w:tcW w:w="1938"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Sql注入成功</w:t>
            </w:r>
          </w:p>
        </w:tc>
        <w:tc>
          <w:tcPr>
            <w:tcW w:w="1331" w:type="pct"/>
            <w:vMerge w:val="continue"/>
            <w:vAlign w:val="center"/>
          </w:tcPr>
          <w:p>
            <w:pPr>
              <w:spacing w:line="360" w:lineRule="auto"/>
              <w:ind w:firstLine="480" w:firstLineChars="200"/>
              <w:rPr>
                <w:color w:val="000000" w:themeColor="text1"/>
                <w14:textFill>
                  <w14:solidFill>
                    <w14:schemeClr w14:val="tx1"/>
                  </w14:solidFill>
                </w14:textFill>
              </w:rPr>
            </w:pPr>
          </w:p>
        </w:tc>
        <w:tc>
          <w:tcPr>
            <w:tcW w:w="1213" w:type="pct"/>
            <w:vMerge w:val="continue"/>
            <w:vAlign w:val="center"/>
          </w:tcPr>
          <w:p>
            <w:pPr>
              <w:spacing w:line="360" w:lineRule="auto"/>
              <w:ind w:firstLine="480" w:firstLineChars="20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9" w:type="pct"/>
            <w:vMerge w:val="continue"/>
            <w:vAlign w:val="center"/>
          </w:tcPr>
          <w:p>
            <w:pPr>
              <w:spacing w:line="360" w:lineRule="auto"/>
              <w:ind w:firstLine="480" w:firstLineChars="200"/>
              <w:rPr>
                <w:color w:val="000000" w:themeColor="text1"/>
                <w14:textFill>
                  <w14:solidFill>
                    <w14:schemeClr w14:val="tx1"/>
                  </w14:solidFill>
                </w14:textFill>
              </w:rPr>
            </w:pPr>
          </w:p>
        </w:tc>
        <w:tc>
          <w:tcPr>
            <w:tcW w:w="1938"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命令注入成功</w:t>
            </w:r>
          </w:p>
        </w:tc>
        <w:tc>
          <w:tcPr>
            <w:tcW w:w="1331" w:type="pct"/>
            <w:vMerge w:val="continue"/>
            <w:vAlign w:val="center"/>
          </w:tcPr>
          <w:p>
            <w:pPr>
              <w:spacing w:line="360" w:lineRule="auto"/>
              <w:ind w:firstLine="480" w:firstLineChars="200"/>
              <w:rPr>
                <w:color w:val="000000" w:themeColor="text1"/>
                <w14:textFill>
                  <w14:solidFill>
                    <w14:schemeClr w14:val="tx1"/>
                  </w14:solidFill>
                </w14:textFill>
              </w:rPr>
            </w:pPr>
          </w:p>
        </w:tc>
        <w:tc>
          <w:tcPr>
            <w:tcW w:w="1213" w:type="pct"/>
            <w:vMerge w:val="continue"/>
            <w:vAlign w:val="center"/>
          </w:tcPr>
          <w:p>
            <w:pPr>
              <w:spacing w:line="360" w:lineRule="auto"/>
              <w:ind w:firstLine="480" w:firstLineChars="20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9" w:type="pct"/>
            <w:vMerge w:val="continue"/>
            <w:vAlign w:val="center"/>
          </w:tcPr>
          <w:p>
            <w:pPr>
              <w:spacing w:line="360" w:lineRule="auto"/>
              <w:ind w:firstLine="480" w:firstLineChars="200"/>
              <w:rPr>
                <w:color w:val="000000" w:themeColor="text1"/>
                <w14:textFill>
                  <w14:solidFill>
                    <w14:schemeClr w14:val="tx1"/>
                  </w14:solidFill>
                </w14:textFill>
              </w:rPr>
            </w:pPr>
          </w:p>
        </w:tc>
        <w:tc>
          <w:tcPr>
            <w:tcW w:w="1938"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代码注入成功</w:t>
            </w:r>
          </w:p>
        </w:tc>
        <w:tc>
          <w:tcPr>
            <w:tcW w:w="1331" w:type="pct"/>
            <w:vMerge w:val="continue"/>
            <w:vAlign w:val="center"/>
          </w:tcPr>
          <w:p>
            <w:pPr>
              <w:spacing w:line="360" w:lineRule="auto"/>
              <w:ind w:firstLine="480" w:firstLineChars="200"/>
              <w:rPr>
                <w:color w:val="000000" w:themeColor="text1"/>
                <w14:textFill>
                  <w14:solidFill>
                    <w14:schemeClr w14:val="tx1"/>
                  </w14:solidFill>
                </w14:textFill>
              </w:rPr>
            </w:pPr>
          </w:p>
        </w:tc>
        <w:tc>
          <w:tcPr>
            <w:tcW w:w="1213" w:type="pct"/>
            <w:vMerge w:val="continue"/>
            <w:vAlign w:val="center"/>
          </w:tcPr>
          <w:p>
            <w:pPr>
              <w:spacing w:line="360" w:lineRule="auto"/>
              <w:ind w:firstLine="480" w:firstLineChars="20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9" w:type="pct"/>
            <w:vMerge w:val="continue"/>
            <w:vAlign w:val="center"/>
          </w:tcPr>
          <w:p>
            <w:pPr>
              <w:spacing w:line="360" w:lineRule="auto"/>
              <w:ind w:firstLine="480" w:firstLineChars="200"/>
              <w:rPr>
                <w:color w:val="000000" w:themeColor="text1"/>
                <w14:textFill>
                  <w14:solidFill>
                    <w14:schemeClr w14:val="tx1"/>
                  </w14:solidFill>
                </w14:textFill>
              </w:rPr>
            </w:pPr>
          </w:p>
        </w:tc>
        <w:tc>
          <w:tcPr>
            <w:tcW w:w="1938"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Webshell上传成功</w:t>
            </w:r>
          </w:p>
        </w:tc>
        <w:tc>
          <w:tcPr>
            <w:tcW w:w="1331" w:type="pct"/>
            <w:vMerge w:val="continue"/>
            <w:vAlign w:val="center"/>
          </w:tcPr>
          <w:p>
            <w:pPr>
              <w:spacing w:line="360" w:lineRule="auto"/>
              <w:ind w:firstLine="480" w:firstLineChars="200"/>
              <w:rPr>
                <w:color w:val="000000" w:themeColor="text1"/>
                <w14:textFill>
                  <w14:solidFill>
                    <w14:schemeClr w14:val="tx1"/>
                  </w14:solidFill>
                </w14:textFill>
              </w:rPr>
            </w:pPr>
          </w:p>
        </w:tc>
        <w:tc>
          <w:tcPr>
            <w:tcW w:w="1213" w:type="pct"/>
            <w:vMerge w:val="continue"/>
            <w:vAlign w:val="center"/>
          </w:tcPr>
          <w:p>
            <w:pPr>
              <w:spacing w:line="360" w:lineRule="auto"/>
              <w:ind w:firstLine="480" w:firstLineChars="20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9" w:type="pct"/>
            <w:vMerge w:val="restar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漏洞攻击成功</w:t>
            </w:r>
          </w:p>
        </w:tc>
        <w:tc>
          <w:tcPr>
            <w:tcW w:w="1938"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system漏洞攻击</w:t>
            </w:r>
          </w:p>
        </w:tc>
        <w:tc>
          <w:tcPr>
            <w:tcW w:w="1331" w:type="pct"/>
            <w:vMerge w:val="restar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告警日志（漏洞攻击，C&amp;C、病毒文件）、系统应用日志等</w:t>
            </w:r>
          </w:p>
        </w:tc>
        <w:tc>
          <w:tcPr>
            <w:tcW w:w="1213" w:type="pct"/>
            <w:vMerge w:val="restar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关联分析：</w:t>
            </w:r>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漏洞攻击成功后，会出现C&amp;C、恶意文件下载等。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519" w:type="pct"/>
            <w:vMerge w:val="continue"/>
            <w:vAlign w:val="center"/>
          </w:tcPr>
          <w:p>
            <w:pPr>
              <w:spacing w:line="360" w:lineRule="auto"/>
              <w:ind w:firstLine="480" w:firstLineChars="200"/>
              <w:rPr>
                <w:color w:val="000000" w:themeColor="text1"/>
                <w14:textFill>
                  <w14:solidFill>
                    <w14:schemeClr w14:val="tx1"/>
                  </w14:solidFill>
                </w14:textFill>
              </w:rPr>
            </w:pPr>
          </w:p>
        </w:tc>
        <w:tc>
          <w:tcPr>
            <w:tcW w:w="1938"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SMB漏洞攻击</w:t>
            </w:r>
          </w:p>
        </w:tc>
        <w:tc>
          <w:tcPr>
            <w:tcW w:w="1331" w:type="pct"/>
            <w:vMerge w:val="continue"/>
            <w:vAlign w:val="center"/>
          </w:tcPr>
          <w:p>
            <w:pPr>
              <w:spacing w:line="360" w:lineRule="auto"/>
              <w:ind w:firstLine="480" w:firstLineChars="200"/>
              <w:rPr>
                <w:color w:val="000000" w:themeColor="text1"/>
                <w14:textFill>
                  <w14:solidFill>
                    <w14:schemeClr w14:val="tx1"/>
                  </w14:solidFill>
                </w14:textFill>
              </w:rPr>
            </w:pPr>
          </w:p>
        </w:tc>
        <w:tc>
          <w:tcPr>
            <w:tcW w:w="1213" w:type="pct"/>
            <w:vMerge w:val="continue"/>
            <w:vAlign w:val="center"/>
          </w:tcPr>
          <w:p>
            <w:pPr>
              <w:spacing w:line="360" w:lineRule="auto"/>
              <w:ind w:firstLine="480" w:firstLineChars="20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9" w:type="pct"/>
            <w:vMerge w:val="continue"/>
            <w:vAlign w:val="center"/>
          </w:tcPr>
          <w:p>
            <w:pPr>
              <w:spacing w:line="360" w:lineRule="auto"/>
              <w:ind w:firstLine="480" w:firstLineChars="200"/>
              <w:rPr>
                <w:color w:val="000000" w:themeColor="text1"/>
                <w14:textFill>
                  <w14:solidFill>
                    <w14:schemeClr w14:val="tx1"/>
                  </w14:solidFill>
                </w14:textFill>
              </w:rPr>
            </w:pPr>
          </w:p>
        </w:tc>
        <w:tc>
          <w:tcPr>
            <w:tcW w:w="1938"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数据库漏洞</w:t>
            </w:r>
          </w:p>
        </w:tc>
        <w:tc>
          <w:tcPr>
            <w:tcW w:w="1331" w:type="pct"/>
            <w:vMerge w:val="continue"/>
            <w:vAlign w:val="center"/>
          </w:tcPr>
          <w:p>
            <w:pPr>
              <w:spacing w:line="360" w:lineRule="auto"/>
              <w:ind w:firstLine="480" w:firstLineChars="200"/>
              <w:rPr>
                <w:color w:val="000000" w:themeColor="text1"/>
                <w14:textFill>
                  <w14:solidFill>
                    <w14:schemeClr w14:val="tx1"/>
                  </w14:solidFill>
                </w14:textFill>
              </w:rPr>
            </w:pPr>
          </w:p>
        </w:tc>
        <w:tc>
          <w:tcPr>
            <w:tcW w:w="1213" w:type="pct"/>
            <w:vMerge w:val="continue"/>
            <w:vAlign w:val="center"/>
          </w:tcPr>
          <w:p>
            <w:pPr>
              <w:spacing w:line="360" w:lineRule="auto"/>
              <w:ind w:firstLine="480" w:firstLineChars="20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9" w:type="pct"/>
            <w:vMerge w:val="continue"/>
            <w:vAlign w:val="center"/>
          </w:tcPr>
          <w:p>
            <w:pPr>
              <w:spacing w:line="360" w:lineRule="auto"/>
              <w:ind w:firstLine="480" w:firstLineChars="200"/>
              <w:rPr>
                <w:color w:val="000000" w:themeColor="text1"/>
                <w14:textFill>
                  <w14:solidFill>
                    <w14:schemeClr w14:val="tx1"/>
                  </w14:solidFill>
                </w14:textFill>
              </w:rPr>
            </w:pPr>
          </w:p>
        </w:tc>
        <w:tc>
          <w:tcPr>
            <w:tcW w:w="1938"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其他常见应用漏洞</w:t>
            </w:r>
          </w:p>
        </w:tc>
        <w:tc>
          <w:tcPr>
            <w:tcW w:w="1331" w:type="pct"/>
            <w:vMerge w:val="continue"/>
            <w:vAlign w:val="center"/>
          </w:tcPr>
          <w:p>
            <w:pPr>
              <w:spacing w:line="360" w:lineRule="auto"/>
              <w:ind w:firstLine="480" w:firstLineChars="200"/>
              <w:rPr>
                <w:color w:val="000000" w:themeColor="text1"/>
                <w14:textFill>
                  <w14:solidFill>
                    <w14:schemeClr w14:val="tx1"/>
                  </w14:solidFill>
                </w14:textFill>
              </w:rPr>
            </w:pPr>
          </w:p>
        </w:tc>
        <w:tc>
          <w:tcPr>
            <w:tcW w:w="1213" w:type="pct"/>
            <w:vMerge w:val="continue"/>
            <w:vAlign w:val="center"/>
          </w:tcPr>
          <w:p>
            <w:pPr>
              <w:spacing w:line="360" w:lineRule="auto"/>
              <w:ind w:firstLine="480" w:firstLineChars="20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9"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其他攻击成功</w:t>
            </w:r>
          </w:p>
        </w:tc>
        <w:tc>
          <w:tcPr>
            <w:tcW w:w="1938"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其他类型攻击成功</w:t>
            </w:r>
          </w:p>
        </w:tc>
        <w:tc>
          <w:tcPr>
            <w:tcW w:w="1331"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安全设备告警日志</w:t>
            </w:r>
          </w:p>
        </w:tc>
        <w:tc>
          <w:tcPr>
            <w:tcW w:w="1213" w:type="pct"/>
            <w:vAlign w:val="center"/>
          </w:tcPr>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告警日志间关联分析</w:t>
            </w:r>
          </w:p>
        </w:tc>
      </w:tr>
    </w:tbl>
    <w:p>
      <w:pPr>
        <w:pStyle w:val="92"/>
        <w:spacing w:line="360" w:lineRule="auto"/>
        <w:ind w:firstLine="0" w:firstLineChars="0"/>
        <w:rPr>
          <w:rFonts w:ascii="微软雅黑" w:hAnsi="微软雅黑" w:eastAsia="微软雅黑" w:cs="微软雅黑"/>
          <w:sz w:val="8"/>
          <w:szCs w:val="8"/>
        </w:rPr>
      </w:pPr>
    </w:p>
    <w:p>
      <w:pPr>
        <w:pStyle w:val="6"/>
        <w:spacing w:line="360" w:lineRule="auto"/>
      </w:pPr>
      <w:r>
        <w:rPr>
          <w:rFonts w:hint="eastAsia"/>
        </w:rPr>
        <w:t>终端侧能力</w:t>
      </w:r>
    </w:p>
    <w:p>
      <w:pPr>
        <w:pStyle w:val="92"/>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传统终端侧威胁检测主防以规则为检测手段，通过规则发现攻击威胁，难以覆盖高级威胁，例如无文件攻击、模仿攻击（Mimicry）以及跨重启跨长时间窗口的APT攻击。终端侧高级威胁检测能力通过在端侧采集全面的数据，包括终端、用户、文件、进程、行为等数据。数据在本地做分层，聚合有效数据上传至平台。结合用户真实环境做上下文强关联分析，提升攻击研判精准度。行为检测基于多事件复杂关联规则匹配算法，依靠IOA泛化行为规则提高已知和未知高级威胁攻击检测能力，补充复杂行为关联检测领域空白，构建行为检测防御层级，增强多层次纵深防御检测能力，帮忙用户有效抵御已知和未知高级威胁攻击。</w:t>
      </w:r>
    </w:p>
    <w:p>
      <w:pPr>
        <w:pStyle w:val="92"/>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采用三级检测机制，呈漏斗状。</w:t>
      </w:r>
    </w:p>
    <w:p>
      <w:pPr>
        <w:pStyle w:val="92"/>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第一级是系统事件（Event）级别的事件检测，基于单个终端的明显攻击行为检测，输出分析；</w:t>
      </w:r>
    </w:p>
    <w:p>
      <w:pPr>
        <w:pStyle w:val="92"/>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第二级是多告警关联检测，是基于大量关联数据再深度检测，抑制误报；</w:t>
      </w:r>
    </w:p>
    <w:p>
      <w:pPr>
        <w:pStyle w:val="92"/>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第三级是跨终端多源检测，基于多终端、多源数据相互关联，重现攻击场景。</w:t>
      </w:r>
    </w:p>
    <w:p>
      <w:pPr>
        <w:pStyle w:val="92"/>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通过上述三级检测引擎，输出高质量的检测分析结果。</w:t>
      </w:r>
    </w:p>
    <w:p>
      <w:pPr>
        <w:pStyle w:val="92"/>
        <w:spacing w:line="360" w:lineRule="auto"/>
        <w:jc w:val="center"/>
        <w:rPr>
          <w:rFonts w:ascii="微软雅黑" w:hAnsi="微软雅黑" w:eastAsia="微软雅黑" w:cs="微软雅黑"/>
        </w:rPr>
      </w:pPr>
      <w:r>
        <w:rPr>
          <w:rFonts w:hint="eastAsia" w:ascii="微软雅黑" w:hAnsi="微软雅黑" w:eastAsia="微软雅黑" w:cs="微软雅黑"/>
        </w:rPr>
        <w:drawing>
          <wp:inline distT="0" distB="0" distL="114300" distR="114300">
            <wp:extent cx="3103245" cy="2630170"/>
            <wp:effectExtent l="0" t="0" r="825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3103245" cy="2630170"/>
                    </a:xfrm>
                    <a:prstGeom prst="rect">
                      <a:avLst/>
                    </a:prstGeom>
                    <a:noFill/>
                    <a:ln>
                      <a:noFill/>
                    </a:ln>
                  </pic:spPr>
                </pic:pic>
              </a:graphicData>
            </a:graphic>
          </wp:inline>
        </w:drawing>
      </w:r>
    </w:p>
    <w:p>
      <w:pPr>
        <w:pStyle w:val="6"/>
        <w:spacing w:line="360" w:lineRule="auto"/>
      </w:pPr>
      <w:r>
        <w:rPr>
          <w:rFonts w:hint="eastAsia"/>
        </w:rPr>
        <w:t>网络侧能力</w:t>
      </w:r>
    </w:p>
    <w:p>
      <w:pPr>
        <w:pStyle w:val="92"/>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网络侧基于流量采集和日志采集，通过WAF\IPS\PVS漏洞检测\威胁情报四种规则进行初步分析做数据标记和特征检测，之后再结合EBA和AI中基础的威胁检测模型来进行匹配，快速定位出场景威胁如流行病毒、黑客工具、爆破、扫描、DGA等，针对一些更复杂的不规则的一些组合威胁攻击手段如攻击成功识别、自定义工具、0day漏洞利用、代理转发工具、隐秘隧道等，基于整个会话流量进行检测，包括对流量的请求回显、特征异常关联、异常行为利用、多阶段攻击利用等行为进行完整回溯关联，最终定位出来异常风险。最后是基于优化算法模型，对一些典型的加密流量、0day漏洞利用特征进行优化检测，实现高检出低误报。</w:t>
      </w:r>
    </w:p>
    <w:p>
      <w:pPr>
        <w:pStyle w:val="92"/>
        <w:spacing w:line="360" w:lineRule="auto"/>
        <w:ind w:firstLine="0" w:firstLineChars="0"/>
        <w:jc w:val="both"/>
        <w:rPr>
          <w:rFonts w:ascii="微软雅黑" w:hAnsi="微软雅黑" w:eastAsia="微软雅黑" w:cs="微软雅黑"/>
        </w:rPr>
      </w:pPr>
      <w:r>
        <w:rPr>
          <w:rFonts w:hint="eastAsia" w:ascii="微软雅黑" w:hAnsi="微软雅黑" w:eastAsia="微软雅黑" w:cs="微软雅黑"/>
        </w:rPr>
        <w:drawing>
          <wp:inline distT="0" distB="0" distL="114300" distR="114300">
            <wp:extent cx="4639310" cy="1840230"/>
            <wp:effectExtent l="0" t="0" r="8890"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4639310" cy="1840230"/>
                    </a:xfrm>
                    <a:prstGeom prst="rect">
                      <a:avLst/>
                    </a:prstGeom>
                    <a:noFill/>
                    <a:ln>
                      <a:noFill/>
                    </a:ln>
                  </pic:spPr>
                </pic:pic>
              </a:graphicData>
            </a:graphic>
          </wp:inline>
        </w:drawing>
      </w:r>
    </w:p>
    <w:p>
      <w:pPr>
        <w:pStyle w:val="6"/>
        <w:spacing w:line="360" w:lineRule="auto"/>
      </w:pPr>
      <w:bookmarkStart w:id="14" w:name="_Toc114760617"/>
      <w:bookmarkStart w:id="15" w:name="_Toc6712"/>
      <w:r>
        <w:rPr>
          <w:rFonts w:hint="eastAsia"/>
        </w:rPr>
        <w:t>响应处置能力</w:t>
      </w:r>
      <w:bookmarkEnd w:id="14"/>
      <w:bookmarkEnd w:id="15"/>
    </w:p>
    <w:p>
      <w:pPr>
        <w:pStyle w:val="79"/>
        <w:ind w:firstLine="48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通过安全运营平台（XDR）构建分层响应体系，可协同联动相关组件，具备自动化响应与处置能力，提升威胁应对的效率。通过安全运营提供的事件响应处置能力，制定全面的事件响应（IR）计划，帮助安全团队对网络安全事件做出完整，快速和有效的响应，通过准备、检测、抑制、根除、恢复、跟踪等多个阶段的响应处置工作，降低因安全事件带来的损失。</w:t>
      </w:r>
    </w:p>
    <w:p>
      <w:pPr>
        <w:pStyle w:val="7"/>
        <w:spacing w:line="360" w:lineRule="auto"/>
        <w:rPr>
          <w:b/>
          <w:bCs/>
        </w:rPr>
      </w:pPr>
      <w:r>
        <w:rPr>
          <w:rFonts w:hint="eastAsia"/>
          <w:b/>
          <w:bCs/>
        </w:rPr>
        <w:t>设备联动能力</w:t>
      </w:r>
    </w:p>
    <w:p>
      <w:pPr>
        <w:pStyle w:val="8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当攻击行为发生时，相关的安全设备能相应地协同响应，作出防御措施，如网络流量检测设备在发现威胁时，能够通知防火墙对非法IP进行阻断，或防火墙在发现非法外联行为时，阻断非法外联行为，同时通知相关终端安装的</w:t>
      </w:r>
      <w:r>
        <w:rPr>
          <w:rFonts w:ascii="宋体" w:hAnsi="宋体"/>
          <w:szCs w:val="24"/>
        </w:rPr>
        <w:t>终端检测与响应系统</w:t>
      </w:r>
      <w:r>
        <w:rPr>
          <w:rFonts w:hint="eastAsia" w:ascii="宋体" w:hAnsi="宋体" w:cs="宋体"/>
          <w:color w:val="000000" w:themeColor="text1"/>
          <w:szCs w:val="24"/>
          <w14:textFill>
            <w14:solidFill>
              <w14:schemeClr w14:val="tx1"/>
            </w14:solidFill>
          </w14:textFill>
        </w:rPr>
        <w:t>软件进行杀毒操作。通过这种联动机制实现对信息系统的综合防御能力，而这种防御措施都应该在安全运营的有效部署和协调下准确高效地完成。</w:t>
      </w:r>
    </w:p>
    <w:p>
      <w:pPr>
        <w:pStyle w:val="89"/>
        <w:ind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安全联动能力的建设应该能够联动安全产品进行安全防护和处置，从数据接入、安全能力融合、协同联动等多方面入手，大大降低了用户进行安全防护的难度，提升了安全系统的可用性。</w:t>
      </w:r>
    </w:p>
    <w:p>
      <w:pPr>
        <w:pStyle w:val="89"/>
        <w:numPr>
          <w:ilvl w:val="0"/>
          <w:numId w:val="14"/>
        </w:numPr>
        <w:ind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联动防火墙功能。联动防火墙功能主要通过从防火墙同资产数据，安全日志，访问日志，联动封锁日志等信息，在XDR平台上进行安全分析后，自动联动防火墙进行访问控制和联动封锁。</w:t>
      </w:r>
    </w:p>
    <w:p>
      <w:pPr>
        <w:pStyle w:val="89"/>
        <w:numPr>
          <w:ilvl w:val="0"/>
          <w:numId w:val="14"/>
        </w:numPr>
        <w:ind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联动上网行为管理功能。联动上网行为管理功能主要通过从上网行为管理同步资产信息，在线用户和安全日志等信息，在XDR平台进行安全分析后，自动联动上网行为管理进行账号冻结、准入控制和上网提醒。</w:t>
      </w:r>
    </w:p>
    <w:p>
      <w:pPr>
        <w:pStyle w:val="89"/>
        <w:numPr>
          <w:ilvl w:val="0"/>
          <w:numId w:val="14"/>
        </w:numPr>
        <w:ind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联动</w:t>
      </w:r>
      <w:r>
        <w:rPr>
          <w:rFonts w:ascii="宋体" w:hAnsi="宋体"/>
          <w:szCs w:val="24"/>
        </w:rPr>
        <w:t>终端检测与响应系统</w:t>
      </w:r>
      <w:r>
        <w:rPr>
          <w:rFonts w:hint="eastAsia" w:ascii="宋体" w:hAnsi="宋体" w:cs="宋体"/>
          <w:color w:val="000000" w:themeColor="text1"/>
          <w:szCs w:val="24"/>
          <w14:textFill>
            <w14:solidFill>
              <w14:schemeClr w14:val="tx1"/>
            </w14:solidFill>
          </w14:textFill>
        </w:rPr>
        <w:t>功能。联动</w:t>
      </w:r>
      <w:r>
        <w:rPr>
          <w:rFonts w:ascii="宋体" w:hAnsi="宋体"/>
          <w:szCs w:val="24"/>
        </w:rPr>
        <w:t>终端检测与响应系统</w:t>
      </w:r>
      <w:r>
        <w:rPr>
          <w:rFonts w:hint="eastAsia" w:ascii="宋体" w:hAnsi="宋体" w:cs="宋体"/>
          <w:color w:val="000000" w:themeColor="text1"/>
          <w:szCs w:val="24"/>
          <w14:textFill>
            <w14:solidFill>
              <w14:schemeClr w14:val="tx1"/>
            </w14:solidFill>
          </w14:textFill>
        </w:rPr>
        <w:t>功能，主要通过从</w:t>
      </w:r>
      <w:r>
        <w:rPr>
          <w:rFonts w:ascii="宋体" w:hAnsi="宋体"/>
          <w:szCs w:val="24"/>
        </w:rPr>
        <w:t>终端检测与响应系统</w:t>
      </w:r>
      <w:r>
        <w:rPr>
          <w:rFonts w:hint="eastAsia" w:ascii="宋体" w:hAnsi="宋体" w:cs="宋体"/>
          <w:color w:val="000000" w:themeColor="text1"/>
          <w:szCs w:val="24"/>
          <w14:textFill>
            <w14:solidFill>
              <w14:schemeClr w14:val="tx1"/>
            </w14:solidFill>
          </w14:textFill>
        </w:rPr>
        <w:t>同步资产信息，安全日志，系统日志、终端行为日志、漏洞日志等信息，在XDR侧进行联动封锁，一键查杀，进程取证。</w:t>
      </w:r>
    </w:p>
    <w:p>
      <w:pPr>
        <w:pStyle w:val="89"/>
        <w:numPr>
          <w:ilvl w:val="0"/>
          <w:numId w:val="14"/>
        </w:numPr>
        <w:ind w:firstLineChars="0"/>
        <w:rPr>
          <w:rFonts w:ascii="微软雅黑" w:hAnsi="微软雅黑" w:eastAsia="微软雅黑" w:cs="微软雅黑"/>
          <w:szCs w:val="24"/>
        </w:rPr>
      </w:pPr>
      <w:r>
        <w:rPr>
          <w:rFonts w:hint="eastAsia" w:ascii="宋体" w:hAnsi="宋体" w:cs="宋体"/>
          <w:color w:val="000000" w:themeColor="text1"/>
          <w:szCs w:val="24"/>
          <w14:textFill>
            <w14:solidFill>
              <w14:schemeClr w14:val="tx1"/>
            </w14:solidFill>
          </w14:textFill>
        </w:rPr>
        <w:t>自动联动功能。自动联动功能，主要通过分析不同来源的安全日志，结合资产信息和访问日志进行关联分析。之后根据不同的安全问题，下发不同的安全策略。</w:t>
      </w:r>
    </w:p>
    <w:p>
      <w:pPr>
        <w:pStyle w:val="7"/>
        <w:spacing w:line="360" w:lineRule="auto"/>
        <w:rPr>
          <w:b/>
          <w:bCs/>
        </w:rPr>
      </w:pPr>
      <w:r>
        <w:rPr>
          <w:rFonts w:hint="eastAsia"/>
          <w:b/>
          <w:bCs/>
        </w:rPr>
        <w:t>SOAR剧本</w:t>
      </w:r>
    </w:p>
    <w:p>
      <w:pPr>
        <w:pStyle w:val="89"/>
        <w:ind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依托XDR平台内置的SOAR模块，可进行图形化的安全编排，根据不同的安全事件可自行灵活地编排不同的处置流程，将安全运营相关的技术、流程和人员等各种能力整合在一起工作。可通过剧本的方式编排响应处置流程，可通过SOAR统一构建自动化分析、响应、处置剧本，一旦发现安全问题就立即启动预定义的剧本，快速将安全事件进行闭环，实现了根据不同类型的风险自动化执行不同的处置流程</w:t>
      </w:r>
    </w:p>
    <w:p>
      <w:pPr>
        <w:pStyle w:val="6"/>
        <w:spacing w:line="360" w:lineRule="auto"/>
      </w:pPr>
      <w:bookmarkStart w:id="16" w:name="_Toc6914"/>
      <w:r>
        <w:rPr>
          <w:rFonts w:hint="eastAsia"/>
        </w:rPr>
        <w:t>多样化对接能力</w:t>
      </w:r>
      <w:bookmarkEnd w:id="16"/>
    </w:p>
    <w:p>
      <w:pPr>
        <w:pStyle w:val="7"/>
        <w:spacing w:line="360" w:lineRule="auto"/>
        <w:rPr>
          <w:b/>
          <w:bCs/>
        </w:rPr>
      </w:pPr>
      <w:r>
        <w:rPr>
          <w:rFonts w:hint="eastAsia"/>
          <w:b/>
          <w:bCs/>
        </w:rPr>
        <w:t>多源数据对接</w:t>
      </w:r>
    </w:p>
    <w:p>
      <w:pPr>
        <w:widowControl w:val="0"/>
        <w:spacing w:line="360" w:lineRule="auto"/>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安全运营平台需要实现统一管理与统一调度能力，需要实现与第三方日志、第三方应用的对接，需要收集网络流量数据、主机终端数据、安全设备告警数据、情报数据等。</w:t>
      </w:r>
    </w:p>
    <w:p>
      <w:pPr>
        <w:pStyle w:val="6"/>
        <w:spacing w:line="360" w:lineRule="auto"/>
      </w:pPr>
      <w:r>
        <w:rPr>
          <w:rFonts w:hint="eastAsia"/>
        </w:rPr>
        <w:t>深度威胁狩猎服务</w:t>
      </w:r>
    </w:p>
    <w:p>
      <w:pPr>
        <w:pStyle w:val="2"/>
        <w:spacing w:line="360" w:lineRule="auto"/>
        <w:ind w:firstLine="480"/>
        <w:rPr>
          <w:rFonts w:ascii="Cambria" w:hAnsi="Cambria" w:cs="Cambria"/>
          <w:color w:val="000000" w:themeColor="text1"/>
          <w14:textFill>
            <w14:solidFill>
              <w14:schemeClr w14:val="tx1"/>
            </w14:solidFill>
          </w14:textFill>
        </w:rPr>
      </w:pPr>
      <w:r>
        <w:rPr>
          <w:rFonts w:ascii="Cambria" w:hAnsi="Cambria" w:cs="Cambria"/>
          <w:color w:val="000000" w:themeColor="text1"/>
          <w14:textFill>
            <w14:solidFill>
              <w14:schemeClr w14:val="tx1"/>
            </w14:solidFill>
          </w14:textFill>
        </w:rPr>
        <w:t>安全专家可针对内/外网或特定业务系统及特定漏洞，基于客户业务定制检测逻辑，尽可能快地发现漏洞或攻击痕迹，发现潜在的安全隐患和已失陷的主机/被钓鱼成功的员工/账密信息泄露等，最大限度地降低攻击者造成的危害，评估造成的损失等内容，最终帮助客户验证风险并推动发现的问题和隐患进行闭环处理</w:t>
      </w:r>
      <w:r>
        <w:rPr>
          <w:rFonts w:hint="eastAsia" w:ascii="Cambria" w:hAnsi="Cambria" w:cs="Cambria"/>
          <w:color w:val="000000" w:themeColor="text1"/>
          <w14:textFill>
            <w14:solidFill>
              <w14:schemeClr w14:val="tx1"/>
            </w14:solidFill>
          </w14:textFill>
        </w:rPr>
        <w:t>。</w:t>
      </w:r>
    </w:p>
    <w:p>
      <w:pPr>
        <w:pStyle w:val="6"/>
        <w:spacing w:line="360" w:lineRule="auto"/>
      </w:pPr>
      <w:r>
        <w:rPr>
          <w:rFonts w:hint="eastAsia"/>
        </w:rPr>
        <w:t>内置剧本交付服务</w:t>
      </w:r>
    </w:p>
    <w:p>
      <w:pPr>
        <w:pStyle w:val="2"/>
        <w:spacing w:line="360" w:lineRule="auto"/>
        <w:ind w:firstLine="480"/>
        <w:rPr>
          <w:rFonts w:ascii="Cambria" w:hAnsi="Cambria" w:cs="Cambria"/>
          <w:color w:val="000000" w:themeColor="text1"/>
          <w14:textFill>
            <w14:solidFill>
              <w14:schemeClr w14:val="tx1"/>
            </w14:solidFill>
          </w14:textFill>
        </w:rPr>
      </w:pPr>
      <w:r>
        <w:rPr>
          <w:rFonts w:ascii="Cambria" w:hAnsi="Cambria" w:cs="Cambria"/>
          <w:color w:val="000000" w:themeColor="text1"/>
          <w14:textFill>
            <w14:solidFill>
              <w14:schemeClr w14:val="tx1"/>
            </w14:solidFill>
          </w14:textFill>
        </w:rPr>
        <w:t>结合</w:t>
      </w:r>
      <w:r>
        <w:rPr>
          <w:rFonts w:hint="eastAsia" w:ascii="Cambria" w:hAnsi="Cambria" w:cs="Cambria"/>
          <w:color w:val="000000" w:themeColor="text1"/>
          <w:lang w:val="en-US" w:eastAsia="zh-CN"/>
          <w14:textFill>
            <w14:solidFill>
              <w14:schemeClr w14:val="tx1"/>
            </w14:solidFill>
          </w14:textFill>
        </w:rPr>
        <w:t>南山区医疗集团总部</w:t>
      </w:r>
      <w:r>
        <w:rPr>
          <w:rFonts w:hint="eastAsia" w:ascii="Cambria" w:hAnsi="Cambria" w:cs="Cambria"/>
          <w:color w:val="000000" w:themeColor="text1"/>
          <w:lang w:val="en-US"/>
          <w14:textFill>
            <w14:solidFill>
              <w14:schemeClr w14:val="tx1"/>
            </w14:solidFill>
          </w14:textFill>
        </w:rPr>
        <w:t>的</w:t>
      </w:r>
      <w:r>
        <w:rPr>
          <w:rFonts w:ascii="Cambria" w:hAnsi="Cambria" w:cs="Cambria"/>
          <w:color w:val="000000" w:themeColor="text1"/>
          <w14:textFill>
            <w14:solidFill>
              <w14:schemeClr w14:val="tx1"/>
            </w14:solidFill>
          </w14:textFill>
        </w:rPr>
        <w:t>实际需求，完成工单&amp;soar模块的内置流程/剧本的优化交付，具体包括： 1、业务/流程需求调研 2、内置剧本优化配置与试运行。 3、内置剧本使用说明。</w:t>
      </w:r>
    </w:p>
    <w:p>
      <w:pPr>
        <w:pStyle w:val="6"/>
        <w:spacing w:line="360" w:lineRule="auto"/>
        <w:rPr>
          <w:lang w:eastAsia="zh-CN"/>
        </w:rPr>
      </w:pPr>
      <w:r>
        <w:rPr>
          <w:rFonts w:hint="eastAsia"/>
          <w:lang w:val="zh-CN" w:eastAsia="zh-CN"/>
        </w:rPr>
        <w:t>移动运营小助手</w:t>
      </w:r>
    </w:p>
    <w:p>
      <w:pPr>
        <w:numPr>
          <w:ilvl w:val="0"/>
          <w:numId w:val="15"/>
        </w:numPr>
        <w:spacing w:line="360" w:lineRule="auto"/>
        <w:rPr>
          <w:rFonts w:ascii="Cambria" w:hAnsi="Cambria" w:cs="Cambria"/>
          <w:color w:val="000000" w:themeColor="text1"/>
          <w:lang w:val="zh-CN"/>
          <w14:textFill>
            <w14:solidFill>
              <w14:schemeClr w14:val="tx1"/>
            </w14:solidFill>
          </w14:textFill>
        </w:rPr>
      </w:pPr>
      <w:r>
        <w:rPr>
          <w:rFonts w:ascii="Cambria" w:hAnsi="Cambria" w:cs="Cambria"/>
          <w:color w:val="000000" w:themeColor="text1"/>
          <w:lang w:val="zh-CN"/>
          <w14:textFill>
            <w14:solidFill>
              <w14:schemeClr w14:val="tx1"/>
            </w14:solidFill>
          </w14:textFill>
        </w:rPr>
        <w:t>安全事件推送：XDR平台产生的安全事件（非告警）、云端狩猎挖掘的事件、最新发生的新型威胁影响评估报告等事件，可以推送到服务号，随时掌控安全态势；</w:t>
      </w:r>
    </w:p>
    <w:p>
      <w:pPr>
        <w:numPr>
          <w:ilvl w:val="0"/>
          <w:numId w:val="15"/>
        </w:numPr>
        <w:spacing w:line="360" w:lineRule="auto"/>
        <w:rPr>
          <w:rFonts w:ascii="Cambria" w:hAnsi="Cambria" w:cs="Cambria"/>
          <w:color w:val="000000" w:themeColor="text1"/>
          <w14:textFill>
            <w14:solidFill>
              <w14:schemeClr w14:val="tx1"/>
            </w14:solidFill>
          </w14:textFill>
        </w:rPr>
      </w:pPr>
      <w:r>
        <w:rPr>
          <w:rFonts w:ascii="Cambria" w:hAnsi="Cambria" w:cs="Cambria"/>
          <w:color w:val="000000" w:themeColor="text1"/>
          <w:lang w:val="zh-CN"/>
          <w14:textFill>
            <w14:solidFill>
              <w14:schemeClr w14:val="tx1"/>
            </w14:solidFill>
          </w14:textFill>
        </w:rPr>
        <w:t>移动处置运维：XDR移动运维小程序可以实时展示安全事件的详情信息，并且联动网络/端点设备一键处置威胁；</w:t>
      </w:r>
    </w:p>
    <w:p>
      <w:pPr>
        <w:numPr>
          <w:ilvl w:val="0"/>
          <w:numId w:val="15"/>
        </w:numPr>
        <w:spacing w:line="360" w:lineRule="auto"/>
        <w:rPr>
          <w:rFonts w:ascii="Cambria" w:hAnsi="Cambria" w:cs="Cambria"/>
          <w:color w:val="000000" w:themeColor="text1"/>
          <w14:textFill>
            <w14:solidFill>
              <w14:schemeClr w14:val="tx1"/>
            </w14:solidFill>
          </w14:textFill>
        </w:rPr>
      </w:pPr>
      <w:r>
        <w:rPr>
          <w:rFonts w:ascii="Cambria" w:hAnsi="Cambria" w:cs="Cambria"/>
          <w:color w:val="000000" w:themeColor="text1"/>
          <w:lang w:val="zh-CN"/>
          <w14:textFill>
            <w14:solidFill>
              <w14:schemeClr w14:val="tx1"/>
            </w14:solidFill>
          </w14:textFill>
        </w:rPr>
        <w:t>移动专家直连咨询：遇到不好理解、不易分析、难以处置的安全事件，可以立即联系专家协助处理；</w:t>
      </w:r>
    </w:p>
    <w:p>
      <w:pPr>
        <w:numPr>
          <w:ilvl w:val="0"/>
          <w:numId w:val="11"/>
        </w:numPr>
        <w:spacing w:line="360" w:lineRule="auto"/>
      </w:pPr>
      <w:r>
        <w:rPr>
          <w:rFonts w:hint="eastAsia"/>
          <w:b/>
          <w:bCs/>
        </w:rPr>
        <w:t>终端安全方案设计</w:t>
      </w:r>
    </w:p>
    <w:p>
      <w:pPr>
        <w:pStyle w:val="2"/>
        <w:spacing w:line="360" w:lineRule="auto"/>
        <w:ind w:firstLine="480"/>
      </w:pPr>
      <w:r>
        <w:rPr>
          <w:rFonts w:cs="宋体"/>
        </w:rPr>
        <w:t>管理端有软件管理端和硬件管理端，其中软件管理端支持在真实物理环境及虚拟化环 境进行部署</w:t>
      </w:r>
      <w:r>
        <w:rPr>
          <w:rFonts w:hint="eastAsia" w:cs="宋体"/>
        </w:rPr>
        <w:t>。</w:t>
      </w:r>
      <w:r>
        <w:rPr>
          <w:rFonts w:cs="宋体"/>
        </w:rPr>
        <w:t>EDR客户端Agent支持安装在Windows PC、Windows Server、Linux、MAC OS和信创终端</w:t>
      </w:r>
      <w:r>
        <w:rPr>
          <w:rFonts w:hint="eastAsia" w:cs="宋体"/>
        </w:rPr>
        <w:t>。</w:t>
      </w:r>
      <w:r>
        <w:rPr>
          <w:rFonts w:cs="宋体"/>
        </w:rPr>
        <w:t>为确保EDR各项功能正常使用，需要放行Agent客户端到管理端连通性、以及管理端到云端服务器的连通性。</w:t>
      </w:r>
    </w:p>
    <w:p>
      <w:pPr>
        <w:pStyle w:val="5"/>
        <w:spacing w:line="360" w:lineRule="auto"/>
        <w:rPr>
          <w:rFonts w:ascii="宋体" w:hAnsi="宋体" w:eastAsia="宋体" w:cs="宋体"/>
          <w:kern w:val="0"/>
          <w:sz w:val="24"/>
          <w:szCs w:val="24"/>
        </w:rPr>
      </w:pPr>
      <w:bookmarkStart w:id="17" w:name="_Toc29764"/>
      <w:r>
        <w:rPr>
          <w:rFonts w:hint="eastAsia"/>
        </w:rPr>
        <w:t>统一管理平台适配全类型资产</w:t>
      </w:r>
      <w:bookmarkEnd w:id="17"/>
    </w:p>
    <w:p>
      <w:pPr>
        <w:spacing w:line="360" w:lineRule="auto"/>
      </w:pPr>
      <w:r>
        <w:rPr>
          <w:rFonts w:hint="eastAsia"/>
        </w:rPr>
        <w:t>适配全类型资产</w:t>
      </w:r>
    </w:p>
    <w:p>
      <w:pPr>
        <w:pStyle w:val="46"/>
        <w:numPr>
          <w:ilvl w:val="0"/>
          <w:numId w:val="16"/>
        </w:numPr>
        <w:spacing w:line="360" w:lineRule="auto"/>
        <w:ind w:firstLineChars="0"/>
      </w:pPr>
      <w:r>
        <w:rPr>
          <w:rFonts w:hint="eastAsia"/>
        </w:rPr>
        <w:t>桌面云，传统PC，笔记本，私有云，服务器，私有云，公有云全适配</w:t>
      </w:r>
    </w:p>
    <w:p>
      <w:pPr>
        <w:pStyle w:val="46"/>
        <w:numPr>
          <w:ilvl w:val="0"/>
          <w:numId w:val="16"/>
        </w:numPr>
        <w:spacing w:line="360" w:lineRule="auto"/>
        <w:ind w:firstLineChars="0"/>
      </w:pPr>
      <w:r>
        <w:rPr>
          <w:rFonts w:hint="eastAsia"/>
        </w:rPr>
        <w:t>终端系统兼容性广阔</w:t>
      </w:r>
    </w:p>
    <w:p>
      <w:pPr>
        <w:pStyle w:val="46"/>
        <w:numPr>
          <w:ilvl w:val="0"/>
          <w:numId w:val="16"/>
        </w:numPr>
        <w:spacing w:line="360" w:lineRule="auto"/>
        <w:ind w:firstLineChars="0"/>
      </w:pPr>
      <w:r>
        <w:rPr>
          <w:rFonts w:hint="eastAsia"/>
        </w:rPr>
        <w:t>与底层虚拟化解耦，适配全部虚拟化底层平台</w:t>
      </w:r>
    </w:p>
    <w:p>
      <w:pPr>
        <w:pStyle w:val="5"/>
        <w:spacing w:line="360" w:lineRule="auto"/>
      </w:pPr>
      <w:bookmarkStart w:id="18" w:name="_Toc6499601"/>
      <w:bookmarkStart w:id="19" w:name="_Toc10729"/>
      <w:r>
        <w:rPr>
          <w:rFonts w:hint="eastAsia"/>
        </w:rPr>
        <w:t>基于多维度的智能检测技术</w:t>
      </w:r>
      <w:bookmarkEnd w:id="18"/>
      <w:bookmarkEnd w:id="19"/>
    </w:p>
    <w:p>
      <w:pPr>
        <w:pStyle w:val="6"/>
        <w:spacing w:line="360" w:lineRule="auto"/>
      </w:pPr>
      <w:bookmarkStart w:id="20" w:name="_Toc5724"/>
      <w:r>
        <w:rPr>
          <w:rFonts w:hint="eastAsia"/>
        </w:rPr>
        <w:t>检测引擎</w:t>
      </w:r>
      <w:bookmarkEnd w:id="20"/>
    </w:p>
    <w:p>
      <w:pPr>
        <w:spacing w:line="360" w:lineRule="auto"/>
        <w:ind w:firstLine="420"/>
      </w:pPr>
      <w:r>
        <w:rPr>
          <w:rFonts w:hint="eastAsia"/>
        </w:rPr>
        <w:t>终端上的安全检测是核心的技术，传统的病毒检测技术使用特征匹配，而特征匹配没有泛化能力或泛化能比较弱，当病毒经过简单的变种，就必须新增加特征规则，因此，随着病毒数量越来越大，病毒特征库也就跟着越来越大，同时运行所占资源也就越来越多。而基于AI技术的查杀引擎，利用深度学习的技术，通过对海量样本数据的学习，提炼出来的高维特征，具备有很强的泛化能力，从而可以应对更多的未知威胁。而这些高维特征数量极少，并且不会随着病毒数同步增长，因此，AI技术具有更好检出效果、更低资源消耗的优点。</w:t>
      </w:r>
    </w:p>
    <w:p>
      <w:pPr>
        <w:spacing w:line="360" w:lineRule="auto"/>
        <w:ind w:firstLine="420"/>
      </w:pPr>
      <w:r>
        <w:rPr>
          <w:rFonts w:hint="eastAsia"/>
        </w:rPr>
        <w:t>当然，仅靠一个AI杀毒引擎是不够的，</w:t>
      </w:r>
      <w:r>
        <w:t>终端检测与响应系统</w:t>
      </w:r>
      <w:r>
        <w:rPr>
          <w:rFonts w:hint="eastAsia"/>
        </w:rPr>
        <w:t xml:space="preserve"> 产品构建了一个多维度、轻量级的漏斗型检测框架，包含基因特征检测引擎、AI 技术的 SAVE 引擎、行为引擎、云查引擎等。通过层层过滤，检测更准确、更高效，资源占用消耗更低。</w:t>
      </w:r>
    </w:p>
    <w:p>
      <w:pPr>
        <w:pStyle w:val="7"/>
        <w:spacing w:line="360" w:lineRule="auto"/>
        <w:rPr>
          <w:b/>
          <w:bCs/>
        </w:rPr>
      </w:pPr>
      <w:bookmarkStart w:id="21" w:name="_Toc6499603"/>
      <w:r>
        <w:rPr>
          <w:rFonts w:hint="eastAsia"/>
          <w:b/>
          <w:bCs/>
          <w:lang w:eastAsia="zh-CN"/>
        </w:rPr>
        <w:t xml:space="preserve"> </w:t>
      </w:r>
      <w:r>
        <w:rPr>
          <w:rFonts w:hint="eastAsia"/>
          <w:b/>
          <w:bCs/>
        </w:rPr>
        <w:t>基因特征检测引擎</w:t>
      </w:r>
      <w:bookmarkEnd w:id="21"/>
    </w:p>
    <w:p>
      <w:pPr>
        <w:spacing w:line="360" w:lineRule="auto"/>
        <w:ind w:firstLine="480" w:firstLineChars="200"/>
      </w:pPr>
      <w:r>
        <w:t>终端检测与响应系统</w:t>
      </w:r>
      <w:r>
        <w:rPr>
          <w:rFonts w:hint="eastAsia"/>
        </w:rPr>
        <w:t>的安全运营团队，根据安全云脑和</w:t>
      </w:r>
      <w:r>
        <w:t>终端检测与响应系统</w:t>
      </w:r>
      <w:r>
        <w:rPr>
          <w:rFonts w:hint="eastAsia"/>
        </w:rPr>
        <w:t>产品的数据运营，对热点事件的病毒家族进行基因特征的提取，洞见威胁本质，使之能应对检测出病毒家族的新变种。相比一般的静态特征，基因特征提取更丰富特征，家族识别更精准。</w:t>
      </w:r>
    </w:p>
    <w:p>
      <w:pPr>
        <w:spacing w:line="360" w:lineRule="auto"/>
      </w:pPr>
      <w:r>
        <w:drawing>
          <wp:inline distT="0" distB="0" distL="0" distR="0">
            <wp:extent cx="4573905" cy="1701800"/>
            <wp:effectExtent l="0" t="0" r="10795" b="0"/>
            <wp:docPr id="9" name="图片 25"/>
            <wp:cNvGraphicFramePr/>
            <a:graphic xmlns:a="http://schemas.openxmlformats.org/drawingml/2006/main">
              <a:graphicData uri="http://schemas.openxmlformats.org/drawingml/2006/picture">
                <pic:pic xmlns:pic="http://schemas.openxmlformats.org/drawingml/2006/picture">
                  <pic:nvPicPr>
                    <pic:cNvPr id="9" name="图片 25"/>
                    <pic:cNvPicPr/>
                  </pic:nvPicPr>
                  <pic:blipFill>
                    <a:blip r:embed="rId17">
                      <a:extLst>
                        <a:ext uri="{28A0092B-C50C-407E-A947-70E740481C1C}">
                          <a14:useLocalDpi xmlns:a14="http://schemas.microsoft.com/office/drawing/2010/main" val="0"/>
                        </a:ext>
                      </a:extLst>
                    </a:blip>
                    <a:srcRect/>
                    <a:stretch>
                      <a:fillRect/>
                    </a:stretch>
                  </pic:blipFill>
                  <pic:spPr>
                    <a:xfrm>
                      <a:off x="0" y="0"/>
                      <a:ext cx="4573905" cy="1701800"/>
                    </a:xfrm>
                    <a:prstGeom prst="rect">
                      <a:avLst/>
                    </a:prstGeom>
                    <a:noFill/>
                    <a:ln>
                      <a:noFill/>
                    </a:ln>
                  </pic:spPr>
                </pic:pic>
              </a:graphicData>
            </a:graphic>
          </wp:inline>
        </w:drawing>
      </w:r>
    </w:p>
    <w:p>
      <w:pPr>
        <w:pStyle w:val="7"/>
        <w:spacing w:line="360" w:lineRule="auto"/>
        <w:rPr>
          <w:b/>
          <w:bCs/>
        </w:rPr>
      </w:pPr>
      <w:bookmarkStart w:id="22" w:name="_Toc6499604"/>
      <w:r>
        <w:rPr>
          <w:rFonts w:hint="eastAsia"/>
          <w:b/>
          <w:bCs/>
        </w:rPr>
        <w:t xml:space="preserve"> AI技术SAVE引擎</w:t>
      </w:r>
      <w:bookmarkEnd w:id="22"/>
    </w:p>
    <w:p>
      <w:pPr>
        <w:spacing w:line="360" w:lineRule="auto"/>
        <w:ind w:firstLine="420"/>
      </w:pPr>
      <w:r>
        <w:rPr>
          <w:rFonts w:hint="eastAsia"/>
        </w:rPr>
        <w:t xml:space="preserve">SAVE（Sangfor AI-based Vanguard Engine）是由创新研究院的博士团队联合 </w:t>
      </w:r>
      <w:r>
        <w:t>终端检测与响应系统</w:t>
      </w:r>
      <w:r>
        <w:rPr>
          <w:rFonts w:hint="eastAsia"/>
        </w:rPr>
        <w:t>产品的安全专家，以及安全云脑的大数据运营专家，共同打造的人工智能恶意文件检测引擎。该引擎利用深度学习技术对数亿维的原始特征进行分析和综合，结合安全专家的领域知识，最终挑选了数千维最有效的高维特征进行恶意文件的鉴定。</w:t>
      </w:r>
    </w:p>
    <w:p>
      <w:pPr>
        <w:numPr>
          <w:ilvl w:val="0"/>
          <w:numId w:val="17"/>
        </w:numPr>
        <w:overflowPunct w:val="0"/>
        <w:autoSpaceDE w:val="0"/>
        <w:autoSpaceDN w:val="0"/>
        <w:adjustRightInd w:val="0"/>
        <w:spacing w:line="360" w:lineRule="auto"/>
        <w:ind w:left="420"/>
        <w:textAlignment w:val="baseline"/>
      </w:pPr>
      <w:r>
        <w:rPr>
          <w:rFonts w:hint="eastAsia"/>
        </w:rPr>
        <w:t>基于人工智能技术，拥有强大的泛化能力，能够识别未知病毒或者已知病毒的新变种；</w:t>
      </w:r>
    </w:p>
    <w:p>
      <w:pPr>
        <w:numPr>
          <w:ilvl w:val="0"/>
          <w:numId w:val="17"/>
        </w:numPr>
        <w:overflowPunct w:val="0"/>
        <w:autoSpaceDE w:val="0"/>
        <w:autoSpaceDN w:val="0"/>
        <w:adjustRightInd w:val="0"/>
        <w:spacing w:line="360" w:lineRule="auto"/>
        <w:ind w:left="420"/>
        <w:textAlignment w:val="baseline"/>
      </w:pPr>
      <w:r>
        <w:rPr>
          <w:rFonts w:hint="eastAsia"/>
        </w:rPr>
        <w:t>对勒索病毒检测效果达到业界领先，包括影响广泛的 WannaCry、BadRabbit等病毒。2018 年 10 月新发现的 GandCrab5.0.3、Rapid、GandCrab5.0.4、KrakenCryptor2.0.7 勒索病毒，使用 9 月已经合入产品并发布的 SAVE1.0.0可以全部检出和查杀。对非勒索病毒也有较好的检出效果；</w:t>
      </w:r>
    </w:p>
    <w:p>
      <w:pPr>
        <w:numPr>
          <w:ilvl w:val="0"/>
          <w:numId w:val="17"/>
        </w:numPr>
        <w:overflowPunct w:val="0"/>
        <w:autoSpaceDE w:val="0"/>
        <w:autoSpaceDN w:val="0"/>
        <w:adjustRightInd w:val="0"/>
        <w:spacing w:line="360" w:lineRule="auto"/>
        <w:ind w:left="420"/>
        <w:textAlignment w:val="baseline"/>
      </w:pPr>
      <w:r>
        <w:rPr>
          <w:rFonts w:hint="eastAsia"/>
        </w:rPr>
        <w:t>云+边界设备+端联动，依托于安全云脑海量的安全数据，SAVE 能够持续进化，不断更新模型并提升检测能力，从而形成传统引擎、人工智能检测引擎和云端检测引擎的完美结合的整体解决方案。</w:t>
      </w:r>
    </w:p>
    <w:p>
      <w:pPr>
        <w:pStyle w:val="7"/>
        <w:spacing w:line="360" w:lineRule="auto"/>
        <w:rPr>
          <w:b/>
          <w:bCs/>
        </w:rPr>
      </w:pPr>
      <w:bookmarkStart w:id="23" w:name="_Toc6499605"/>
      <w:r>
        <w:rPr>
          <w:rFonts w:hint="eastAsia"/>
          <w:b/>
          <w:bCs/>
          <w:lang w:eastAsia="zh-CN"/>
        </w:rPr>
        <w:t xml:space="preserve"> </w:t>
      </w:r>
      <w:r>
        <w:rPr>
          <w:rFonts w:hint="eastAsia"/>
          <w:b/>
          <w:bCs/>
        </w:rPr>
        <w:t>行为引擎</w:t>
      </w:r>
      <w:bookmarkEnd w:id="23"/>
    </w:p>
    <w:p>
      <w:pPr>
        <w:spacing w:line="360" w:lineRule="auto"/>
        <w:ind w:firstLine="420"/>
      </w:pPr>
      <w:r>
        <w:rPr>
          <w:rFonts w:hint="eastAsia"/>
        </w:rPr>
        <w:t>传统静态引擎，是基于静态文件的检测方式，对于加密和混淆等代码级恶意对抗，轻易就被绕过。而基于行为的检测技术，实际上是让可执行程序运行起来，“虚拟沙盒”捕获行为链数据，通过对行为链的分析而检测出威胁。因此，不管使用哪种加密或混淆方法，都无法绕过检测。最后，执行的行为被限制在“虚拟沙盒”中，检测完毕即被无痕清除，不会真正影响到系统环境。</w:t>
      </w:r>
    </w:p>
    <w:p>
      <w:pPr>
        <w:spacing w:line="360" w:lineRule="auto"/>
        <w:ind w:firstLine="420"/>
        <w:rPr>
          <w:rStyle w:val="29"/>
        </w:rPr>
      </w:pPr>
    </w:p>
    <w:p>
      <w:pPr>
        <w:spacing w:line="360" w:lineRule="auto"/>
        <w:jc w:val="center"/>
      </w:pPr>
      <w:r>
        <w:drawing>
          <wp:inline distT="0" distB="0" distL="0" distR="0">
            <wp:extent cx="4841240" cy="1443355"/>
            <wp:effectExtent l="0" t="0" r="10160" b="4445"/>
            <wp:docPr id="16" name="图片 12"/>
            <wp:cNvGraphicFramePr/>
            <a:graphic xmlns:a="http://schemas.openxmlformats.org/drawingml/2006/main">
              <a:graphicData uri="http://schemas.openxmlformats.org/drawingml/2006/picture">
                <pic:pic xmlns:pic="http://schemas.openxmlformats.org/drawingml/2006/picture">
                  <pic:nvPicPr>
                    <pic:cNvPr id="16" name="图片 12"/>
                    <pic:cNvPicPr/>
                  </pic:nvPicPr>
                  <pic:blipFill>
                    <a:blip r:embed="rId18">
                      <a:extLst>
                        <a:ext uri="{28A0092B-C50C-407E-A947-70E740481C1C}">
                          <a14:useLocalDpi xmlns:a14="http://schemas.microsoft.com/office/drawing/2010/main" val="0"/>
                        </a:ext>
                      </a:extLst>
                    </a:blip>
                    <a:srcRect/>
                    <a:stretch>
                      <a:fillRect/>
                    </a:stretch>
                  </pic:blipFill>
                  <pic:spPr>
                    <a:xfrm>
                      <a:off x="0" y="0"/>
                      <a:ext cx="4841240" cy="1443355"/>
                    </a:xfrm>
                    <a:prstGeom prst="rect">
                      <a:avLst/>
                    </a:prstGeom>
                    <a:noFill/>
                    <a:ln>
                      <a:noFill/>
                    </a:ln>
                  </pic:spPr>
                </pic:pic>
              </a:graphicData>
            </a:graphic>
          </wp:inline>
        </w:drawing>
      </w:r>
    </w:p>
    <w:p>
      <w:pPr>
        <w:spacing w:line="360" w:lineRule="auto"/>
        <w:ind w:firstLine="420"/>
      </w:pPr>
      <w:r>
        <w:rPr>
          <w:rFonts w:hint="eastAsia"/>
        </w:rPr>
        <w:t>行为引擎在分层漏斗检测系统结构中，与云查引擎处于最低层，仅有少量的文件到达该层进行鉴定，因此，总体资源消耗较少。</w:t>
      </w:r>
    </w:p>
    <w:p>
      <w:pPr>
        <w:pStyle w:val="7"/>
        <w:spacing w:line="360" w:lineRule="auto"/>
        <w:rPr>
          <w:b/>
          <w:bCs/>
        </w:rPr>
      </w:pPr>
      <w:bookmarkStart w:id="24" w:name="_Toc6499606"/>
      <w:r>
        <w:rPr>
          <w:rFonts w:hint="eastAsia"/>
          <w:b/>
          <w:bCs/>
          <w:lang w:eastAsia="zh-CN"/>
        </w:rPr>
        <w:t xml:space="preserve"> </w:t>
      </w:r>
      <w:r>
        <w:rPr>
          <w:rFonts w:hint="eastAsia"/>
          <w:b/>
          <w:bCs/>
        </w:rPr>
        <w:t>云查引擎</w:t>
      </w:r>
      <w:bookmarkEnd w:id="24"/>
    </w:p>
    <w:p>
      <w:pPr>
        <w:spacing w:line="360" w:lineRule="auto"/>
        <w:ind w:firstLine="420"/>
      </w:pPr>
      <w:r>
        <w:rPr>
          <w:rFonts w:hint="eastAsia"/>
        </w:rPr>
        <w:t>针对最新未知的文件，使用IOC特征（文件hash、dns、url、ip等）的技术，进行云端查询。云端的安全云脑中心，使用大数据分析平台，基于多维威胁情报、云端沙箱技术、多引擎扩展的检测技术等，秒级响应未知文件的检测结果。</w:t>
      </w:r>
    </w:p>
    <w:p>
      <w:pPr>
        <w:pStyle w:val="6"/>
        <w:spacing w:line="360" w:lineRule="auto"/>
      </w:pPr>
      <w:bookmarkStart w:id="25" w:name="_Toc32338"/>
      <w:r>
        <w:rPr>
          <w:rFonts w:hint="eastAsia"/>
        </w:rPr>
        <w:t>终端安全基线核查</w:t>
      </w:r>
      <w:bookmarkEnd w:id="25"/>
    </w:p>
    <w:p>
      <w:pPr>
        <w:spacing w:line="360" w:lineRule="auto"/>
        <w:jc w:val="both"/>
      </w:pPr>
      <w:r>
        <w:drawing>
          <wp:inline distT="0" distB="0" distL="0" distR="0">
            <wp:extent cx="5274310" cy="2258695"/>
            <wp:effectExtent l="0" t="0" r="889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5274310" cy="2258695"/>
                    </a:xfrm>
                    <a:prstGeom prst="rect">
                      <a:avLst/>
                    </a:prstGeom>
                  </pic:spPr>
                </pic:pic>
              </a:graphicData>
            </a:graphic>
          </wp:inline>
        </w:drawing>
      </w:r>
    </w:p>
    <w:p>
      <w:pPr>
        <w:spacing w:line="360" w:lineRule="auto"/>
        <w:ind w:firstLine="426"/>
        <w:jc w:val="center"/>
        <w:rPr>
          <w:sz w:val="22"/>
        </w:rPr>
      </w:pPr>
      <w:r>
        <w:rPr>
          <w:rFonts w:hint="eastAsia"/>
          <w:sz w:val="20"/>
        </w:rPr>
        <w:t>图4</w:t>
      </w:r>
      <w:r>
        <w:rPr>
          <w:sz w:val="20"/>
        </w:rPr>
        <w:t xml:space="preserve">-4 </w:t>
      </w:r>
      <w:r>
        <w:rPr>
          <w:rFonts w:hint="eastAsia"/>
          <w:sz w:val="20"/>
        </w:rPr>
        <w:t>安全</w:t>
      </w:r>
      <w:r>
        <w:rPr>
          <w:sz w:val="20"/>
        </w:rPr>
        <w:t>合规审查</w:t>
      </w:r>
    </w:p>
    <w:p>
      <w:pPr>
        <w:spacing w:line="360" w:lineRule="auto"/>
        <w:ind w:firstLine="426"/>
      </w:pPr>
      <w:r>
        <w:rPr>
          <w:rFonts w:hint="eastAsia"/>
        </w:rPr>
        <w:t>终端</w:t>
      </w:r>
      <w:r>
        <w:t>的安全合规性是</w:t>
      </w:r>
      <w:r>
        <w:rPr>
          <w:rFonts w:hint="eastAsia"/>
        </w:rPr>
        <w:t>重中之重</w:t>
      </w:r>
      <w:r>
        <w:t>，</w:t>
      </w:r>
      <w:r>
        <w:rPr>
          <w:rFonts w:hint="eastAsia"/>
        </w:rPr>
        <w:t>信息</w:t>
      </w:r>
      <w:r>
        <w:t>系统中终端一旦不合规将产生不可预知的安全风险，正因如此，无论是</w:t>
      </w:r>
      <w:r>
        <w:rPr>
          <w:rFonts w:hint="eastAsia"/>
        </w:rPr>
        <w:t>国家</w:t>
      </w:r>
      <w:r>
        <w:t>法律法规，还是组织内部的规章指引，</w:t>
      </w:r>
      <w:r>
        <w:rPr>
          <w:rFonts w:hint="eastAsia"/>
        </w:rPr>
        <w:t>对于</w:t>
      </w:r>
      <w:r>
        <w:t>主机方面都具有明确的安全要求，</w:t>
      </w:r>
      <w:r>
        <w:rPr>
          <w:rFonts w:hint="eastAsia"/>
        </w:rPr>
        <w:t>本</w:t>
      </w:r>
      <w:r>
        <w:t>方案将</w:t>
      </w:r>
      <w:r>
        <w:rPr>
          <w:rFonts w:hint="eastAsia"/>
        </w:rPr>
        <w:t>通过全面</w:t>
      </w:r>
      <w:r>
        <w:t>部署应用终端检测与响应系统，</w:t>
      </w:r>
      <w:r>
        <w:rPr>
          <w:rFonts w:hint="eastAsia"/>
        </w:rPr>
        <w:t>对</w:t>
      </w:r>
      <w:r>
        <w:t>内部终端进行安全合规审查，</w:t>
      </w:r>
      <w:r>
        <w:rPr>
          <w:rFonts w:hint="eastAsia"/>
        </w:rPr>
        <w:t>依据等级保护的主机安全要求进行设计，对身份鉴别、访问控制、安全审计、入侵防范、恶意代码防范等策略进行合规性审查，满足</w:t>
      </w:r>
      <w:r>
        <w:rPr>
          <w:rFonts w:hint="eastAsia"/>
          <w:lang w:eastAsia="zh-CN"/>
        </w:rPr>
        <w:t>南山区医疗集团总部</w:t>
      </w:r>
      <w:r>
        <w:rPr>
          <w:rFonts w:hint="eastAsia"/>
        </w:rPr>
        <w:t>建设等级保护系统的主机安全要求。</w:t>
      </w:r>
    </w:p>
    <w:p>
      <w:pPr>
        <w:pStyle w:val="5"/>
        <w:spacing w:line="360" w:lineRule="auto"/>
      </w:pPr>
      <w:bookmarkStart w:id="26" w:name="_Toc6499608"/>
      <w:bookmarkStart w:id="27" w:name="_Toc31890"/>
      <w:r>
        <w:rPr>
          <w:rFonts w:hint="eastAsia"/>
        </w:rPr>
        <w:t>应用创新微隔离技术</w:t>
      </w:r>
      <w:bookmarkEnd w:id="26"/>
      <w:r>
        <w:rPr>
          <w:rFonts w:hint="eastAsia"/>
        </w:rPr>
        <w:t>的动态防护体系</w:t>
      </w:r>
      <w:bookmarkEnd w:id="27"/>
    </w:p>
    <w:p>
      <w:pPr>
        <w:pStyle w:val="6"/>
        <w:spacing w:line="360" w:lineRule="auto"/>
      </w:pPr>
      <w:bookmarkStart w:id="28" w:name="_Toc6499609"/>
      <w:bookmarkStart w:id="29" w:name="_Toc21364"/>
      <w:r>
        <w:rPr>
          <w:rFonts w:hint="eastAsia"/>
        </w:rPr>
        <w:t>创新微隔离</w:t>
      </w:r>
      <w:bookmarkEnd w:id="28"/>
      <w:r>
        <w:rPr>
          <w:rFonts w:hint="eastAsia"/>
        </w:rPr>
        <w:t>技术</w:t>
      </w:r>
      <w:bookmarkEnd w:id="29"/>
    </w:p>
    <w:p>
      <w:pPr>
        <w:spacing w:line="360" w:lineRule="auto"/>
        <w:ind w:firstLine="426"/>
      </w:pPr>
      <w:bookmarkStart w:id="30" w:name="_Toc6499610"/>
      <w:r>
        <w:t>终端检测与响应系统</w:t>
      </w:r>
      <w:r>
        <w:rPr>
          <w:rFonts w:hint="eastAsia"/>
        </w:rPr>
        <w:t>微隔离方案提出了一种基于安全域应用角色之间的流量访问控制解决方法，系统可实现基于主机应用角色之间的访问控制，做到可视化的安全访问策略配置，简单高效地对应用服务之间访问进行隔离控制。优先对所有的服务器进行业务安全域的逻辑划域隔离，并对业务区域内的服务器提供的服务进行应用角色划分，对不同应用角色之间服务访问进行控制配置，减少了非法</w:t>
      </w:r>
      <w:r>
        <w:t>人员</w:t>
      </w:r>
      <w:r>
        <w:rPr>
          <w:rFonts w:hint="eastAsia"/>
        </w:rPr>
        <w:t>对物理、虚拟服务器攻击机会，集中统一管理服务器的访问控制策略。并且基于安装轻量级主机</w:t>
      </w:r>
      <w:r>
        <w:t>Agent</w:t>
      </w:r>
      <w:r>
        <w:rPr>
          <w:rFonts w:hint="eastAsia"/>
        </w:rPr>
        <w:t>软件的微隔离访问控制，不受虚拟化平台、物理机器和虚拟机器影响。另一方面，微隔离功能</w:t>
      </w:r>
      <w:r>
        <w:t>的应用</w:t>
      </w:r>
      <w:r>
        <w:rPr>
          <w:rFonts w:hint="eastAsia"/>
        </w:rPr>
        <w:t>，</w:t>
      </w:r>
      <w:r>
        <w:t>可</w:t>
      </w:r>
      <w:r>
        <w:rPr>
          <w:rFonts w:hint="eastAsia"/>
        </w:rPr>
        <w:t>在</w:t>
      </w:r>
      <w:r>
        <w:t>发生病毒</w:t>
      </w:r>
      <w:r>
        <w:rPr>
          <w:rFonts w:hint="eastAsia"/>
        </w:rPr>
        <w:t>感染情况下</w:t>
      </w:r>
      <w:r>
        <w:t>，将威胁放置在可控范围内，</w:t>
      </w:r>
      <w:r>
        <w:rPr>
          <w:rFonts w:hint="eastAsia"/>
        </w:rPr>
        <w:t>从而有效</w:t>
      </w:r>
      <w:r>
        <w:t>提升安全防护水平。</w:t>
      </w:r>
    </w:p>
    <w:p>
      <w:pPr>
        <w:pStyle w:val="6"/>
        <w:spacing w:line="360" w:lineRule="auto"/>
      </w:pPr>
      <w:bookmarkStart w:id="31" w:name="_Toc13501"/>
      <w:r>
        <w:rPr>
          <w:rFonts w:hint="eastAsia"/>
        </w:rPr>
        <w:t>终端间访问关系控制</w:t>
      </w:r>
      <w:bookmarkEnd w:id="30"/>
      <w:bookmarkEnd w:id="31"/>
    </w:p>
    <w:p>
      <w:pPr>
        <w:spacing w:line="360" w:lineRule="auto"/>
        <w:ind w:firstLine="420"/>
      </w:pPr>
      <w:r>
        <w:rPr>
          <w:rFonts w:hint="eastAsia"/>
        </w:rPr>
        <w:t>在东西向访问关系控制上，优先对所有的服务器进行业务安全域的逻辑划域隔离，并对业务区域内的服务器提供的服务进行应用角色划分，对不同应用角色之间服务访问进行访问控制配置，减少了对物理、虚拟的服务器被攻击的机会，集中统一管理服务器的访问控制策略。并且基于安装轻量级主机 Agent 软件的访问控制，不受虚拟化平台的影响，不受物理机器和虚拟机器的影响。</w:t>
      </w:r>
    </w:p>
    <w:p>
      <w:pPr>
        <w:spacing w:line="360" w:lineRule="auto"/>
        <w:rPr>
          <w:rFonts w:ascii="微软雅黑" w:hAnsi="微软雅黑" w:eastAsia="微软雅黑"/>
        </w:rPr>
      </w:pPr>
      <w:r>
        <w:rPr>
          <w:rFonts w:ascii="微软雅黑" w:hAnsi="微软雅黑" w:eastAsia="微软雅黑"/>
        </w:rPr>
        <w:drawing>
          <wp:inline distT="0" distB="0" distL="0" distR="0">
            <wp:extent cx="5629275" cy="2923540"/>
            <wp:effectExtent l="0" t="0" r="9525" b="0"/>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29275" cy="2923540"/>
                    </a:xfrm>
                    <a:prstGeom prst="rect">
                      <a:avLst/>
                    </a:prstGeom>
                    <a:noFill/>
                  </pic:spPr>
                </pic:pic>
              </a:graphicData>
            </a:graphic>
          </wp:inline>
        </w:drawing>
      </w:r>
    </w:p>
    <w:p>
      <w:pPr>
        <w:spacing w:line="360" w:lineRule="auto"/>
        <w:ind w:firstLine="426"/>
      </w:pPr>
      <w:r>
        <w:rPr>
          <w:rFonts w:hint="eastAsia"/>
        </w:rPr>
        <w:t>通过全面</w:t>
      </w:r>
      <w:r>
        <w:t>部署应用终端检测与响应系统</w:t>
      </w:r>
      <w:r>
        <w:rPr>
          <w:rFonts w:hint="eastAsia"/>
        </w:rPr>
        <w:t>，可全面</w:t>
      </w:r>
      <w:r>
        <w:t>解决信息系统内部网络互访</w:t>
      </w:r>
      <w:r>
        <w:rPr>
          <w:rFonts w:hint="eastAsia"/>
        </w:rPr>
        <w:t>不可控</w:t>
      </w:r>
      <w:r>
        <w:t>问题，规范化</w:t>
      </w:r>
      <w:r>
        <w:rPr>
          <w:rFonts w:hint="eastAsia"/>
        </w:rPr>
        <w:t>主机</w:t>
      </w:r>
      <w:r>
        <w:t>、业务等</w:t>
      </w:r>
      <w:r>
        <w:rPr>
          <w:rFonts w:hint="eastAsia"/>
        </w:rPr>
        <w:t>网内</w:t>
      </w:r>
      <w:r>
        <w:t>不同对象的</w:t>
      </w:r>
      <w:r>
        <w:rPr>
          <w:rFonts w:hint="eastAsia"/>
        </w:rPr>
        <w:t>网络</w:t>
      </w:r>
      <w:r>
        <w:t>访问行为。</w:t>
      </w:r>
    </w:p>
    <w:p>
      <w:pPr>
        <w:spacing w:line="360" w:lineRule="auto"/>
        <w:ind w:firstLine="426"/>
      </w:pPr>
      <w:r>
        <w:rPr>
          <w:rFonts w:hint="eastAsia"/>
        </w:rPr>
        <w:t>利用应用角色之间的主机流量访问控制的技术，提供对业务安全域之间、业务安全域内不同应用角色之间、业务安全域内相同应用角色之间的访问控制策略配置，提供简单可视化的安全访问策略配置，提高安全管理效率。</w:t>
      </w:r>
    </w:p>
    <w:tbl>
      <w:tblPr>
        <w:tblStyle w:val="23"/>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2"/>
        <w:gridCol w:w="1637"/>
        <w:gridCol w:w="2268"/>
        <w:gridCol w:w="155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2" w:type="dxa"/>
            <w:shd w:val="clear" w:color="auto" w:fill="A4A4A4"/>
          </w:tcPr>
          <w:p>
            <w:pPr>
              <w:spacing w:line="360" w:lineRule="auto"/>
            </w:pPr>
            <w:r>
              <w:t xml:space="preserve"> </w:t>
            </w:r>
            <w:r>
              <w:rPr>
                <w:rFonts w:hint="eastAsia"/>
              </w:rPr>
              <w:t>业务安全域</w:t>
            </w:r>
          </w:p>
        </w:tc>
        <w:tc>
          <w:tcPr>
            <w:tcW w:w="1637" w:type="dxa"/>
            <w:shd w:val="clear" w:color="auto" w:fill="A4A4A4"/>
          </w:tcPr>
          <w:p>
            <w:pPr>
              <w:spacing w:line="360" w:lineRule="auto"/>
            </w:pPr>
            <w:r>
              <w:rPr>
                <w:rFonts w:hint="eastAsia"/>
              </w:rPr>
              <w:t>应用提供者</w:t>
            </w:r>
          </w:p>
        </w:tc>
        <w:tc>
          <w:tcPr>
            <w:tcW w:w="2268" w:type="dxa"/>
            <w:shd w:val="clear" w:color="auto" w:fill="A4A4A4"/>
          </w:tcPr>
          <w:p>
            <w:pPr>
              <w:spacing w:line="360" w:lineRule="auto"/>
            </w:pPr>
            <w:r>
              <w:rPr>
                <w:rFonts w:hint="eastAsia"/>
              </w:rPr>
              <w:t>应用服务</w:t>
            </w:r>
          </w:p>
        </w:tc>
        <w:tc>
          <w:tcPr>
            <w:tcW w:w="1559" w:type="dxa"/>
            <w:shd w:val="clear" w:color="auto" w:fill="A4A4A4"/>
          </w:tcPr>
          <w:p>
            <w:pPr>
              <w:spacing w:line="360" w:lineRule="auto"/>
            </w:pPr>
            <w:r>
              <w:rPr>
                <w:rFonts w:hint="eastAsia"/>
              </w:rPr>
              <w:t>应用使用者</w:t>
            </w:r>
          </w:p>
        </w:tc>
        <w:tc>
          <w:tcPr>
            <w:tcW w:w="1276" w:type="dxa"/>
            <w:shd w:val="clear" w:color="auto" w:fill="A4A4A4"/>
          </w:tcPr>
          <w:p>
            <w:pPr>
              <w:spacing w:line="360" w:lineRule="auto"/>
            </w:pPr>
            <w:r>
              <w:rPr>
                <w:rFonts w:hint="eastAsia"/>
              </w:rPr>
              <w:t>策略动作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2" w:type="dxa"/>
          </w:tcPr>
          <w:p>
            <w:pPr>
              <w:spacing w:line="360" w:lineRule="auto"/>
            </w:pPr>
            <w:r>
              <w:rPr>
                <w:rFonts w:hint="eastAsia"/>
              </w:rPr>
              <w:t>门户网站业务域</w:t>
            </w:r>
          </w:p>
        </w:tc>
        <w:tc>
          <w:tcPr>
            <w:tcW w:w="1637" w:type="dxa"/>
          </w:tcPr>
          <w:p>
            <w:pPr>
              <w:spacing w:line="360" w:lineRule="auto"/>
            </w:pPr>
            <w:r>
              <w:rPr>
                <w:rFonts w:hint="eastAsia"/>
              </w:rPr>
              <w:t>WEB应用角色</w:t>
            </w:r>
          </w:p>
        </w:tc>
        <w:tc>
          <w:tcPr>
            <w:tcW w:w="2268" w:type="dxa"/>
          </w:tcPr>
          <w:p>
            <w:pPr>
              <w:spacing w:line="360" w:lineRule="auto"/>
            </w:pPr>
            <w:r>
              <w:rPr>
                <w:rFonts w:hint="eastAsia"/>
              </w:rPr>
              <w:t>Apache（Http，80）</w:t>
            </w:r>
          </w:p>
        </w:tc>
        <w:tc>
          <w:tcPr>
            <w:tcW w:w="1559" w:type="dxa"/>
          </w:tcPr>
          <w:p>
            <w:pPr>
              <w:spacing w:line="360" w:lineRule="auto"/>
            </w:pPr>
            <w:r>
              <w:rPr>
                <w:rFonts w:hint="eastAsia"/>
              </w:rPr>
              <w:t>All</w:t>
            </w:r>
          </w:p>
        </w:tc>
        <w:tc>
          <w:tcPr>
            <w:tcW w:w="1276" w:type="dxa"/>
          </w:tcPr>
          <w:p>
            <w:pPr>
              <w:spacing w:line="360" w:lineRule="auto"/>
            </w:pPr>
            <w:r>
              <w:rPr>
                <w:rFonts w:hint="eastAsia"/>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2" w:type="dxa"/>
          </w:tcPr>
          <w:p>
            <w:pPr>
              <w:spacing w:line="360" w:lineRule="auto"/>
            </w:pPr>
            <w:r>
              <w:rPr>
                <w:rFonts w:hint="eastAsia"/>
              </w:rPr>
              <w:t>门户网站业务域</w:t>
            </w:r>
          </w:p>
        </w:tc>
        <w:tc>
          <w:tcPr>
            <w:tcW w:w="1637" w:type="dxa"/>
          </w:tcPr>
          <w:p>
            <w:pPr>
              <w:spacing w:line="360" w:lineRule="auto"/>
            </w:pPr>
            <w:r>
              <w:rPr>
                <w:rFonts w:hint="eastAsia"/>
              </w:rPr>
              <w:t>DB应用角色</w:t>
            </w:r>
          </w:p>
        </w:tc>
        <w:tc>
          <w:tcPr>
            <w:tcW w:w="2268" w:type="dxa"/>
          </w:tcPr>
          <w:p>
            <w:pPr>
              <w:spacing w:line="360" w:lineRule="auto"/>
            </w:pPr>
            <w:r>
              <w:rPr>
                <w:rFonts w:hint="eastAsia"/>
              </w:rPr>
              <w:t>MySQL（TCP，3306）</w:t>
            </w:r>
          </w:p>
        </w:tc>
        <w:tc>
          <w:tcPr>
            <w:tcW w:w="1559" w:type="dxa"/>
          </w:tcPr>
          <w:p>
            <w:pPr>
              <w:spacing w:line="360" w:lineRule="auto"/>
            </w:pPr>
            <w:r>
              <w:rPr>
                <w:rFonts w:hint="eastAsia"/>
              </w:rPr>
              <w:t>WEB应用角色</w:t>
            </w:r>
          </w:p>
        </w:tc>
        <w:tc>
          <w:tcPr>
            <w:tcW w:w="1276" w:type="dxa"/>
          </w:tcPr>
          <w:p>
            <w:pPr>
              <w:spacing w:line="360" w:lineRule="auto"/>
            </w:pPr>
            <w:r>
              <w:rPr>
                <w:rFonts w:hint="eastAsia"/>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2" w:type="dxa"/>
          </w:tcPr>
          <w:p>
            <w:pPr>
              <w:spacing w:line="360" w:lineRule="auto"/>
            </w:pPr>
            <w:r>
              <w:rPr>
                <w:rFonts w:hint="eastAsia"/>
              </w:rPr>
              <w:t>门户网站业务域</w:t>
            </w:r>
          </w:p>
        </w:tc>
        <w:tc>
          <w:tcPr>
            <w:tcW w:w="1637" w:type="dxa"/>
          </w:tcPr>
          <w:p>
            <w:pPr>
              <w:spacing w:line="360" w:lineRule="auto"/>
            </w:pPr>
            <w:r>
              <w:rPr>
                <w:rFonts w:hint="eastAsia"/>
              </w:rPr>
              <w:t>ALL</w:t>
            </w:r>
          </w:p>
        </w:tc>
        <w:tc>
          <w:tcPr>
            <w:tcW w:w="2268" w:type="dxa"/>
          </w:tcPr>
          <w:p>
            <w:pPr>
              <w:spacing w:line="360" w:lineRule="auto"/>
            </w:pPr>
            <w:r>
              <w:rPr>
                <w:rFonts w:hint="eastAsia"/>
              </w:rPr>
              <w:t>ALL</w:t>
            </w:r>
          </w:p>
        </w:tc>
        <w:tc>
          <w:tcPr>
            <w:tcW w:w="1559" w:type="dxa"/>
          </w:tcPr>
          <w:p>
            <w:pPr>
              <w:spacing w:line="360" w:lineRule="auto"/>
            </w:pPr>
            <w:r>
              <w:rPr>
                <w:rFonts w:hint="eastAsia"/>
              </w:rPr>
              <w:t>ALL</w:t>
            </w:r>
          </w:p>
        </w:tc>
        <w:tc>
          <w:tcPr>
            <w:tcW w:w="1276" w:type="dxa"/>
          </w:tcPr>
          <w:p>
            <w:pPr>
              <w:spacing w:line="360" w:lineRule="auto"/>
            </w:pPr>
            <w:r>
              <w:rPr>
                <w:rFonts w:hint="eastAsia"/>
              </w:rPr>
              <w:t>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2" w:type="dxa"/>
          </w:tcPr>
          <w:p>
            <w:pPr>
              <w:spacing w:line="360" w:lineRule="auto"/>
            </w:pPr>
            <w:r>
              <w:rPr>
                <w:rFonts w:hint="eastAsia"/>
              </w:rPr>
              <w:t>OA业务域</w:t>
            </w:r>
          </w:p>
        </w:tc>
        <w:tc>
          <w:tcPr>
            <w:tcW w:w="1637" w:type="dxa"/>
          </w:tcPr>
          <w:p>
            <w:pPr>
              <w:spacing w:line="360" w:lineRule="auto"/>
            </w:pPr>
            <w:r>
              <w:rPr>
                <w:rFonts w:hint="eastAsia"/>
              </w:rPr>
              <w:t>DB应用角色</w:t>
            </w:r>
          </w:p>
        </w:tc>
        <w:tc>
          <w:tcPr>
            <w:tcW w:w="2268" w:type="dxa"/>
          </w:tcPr>
          <w:p>
            <w:pPr>
              <w:spacing w:line="360" w:lineRule="auto"/>
            </w:pPr>
            <w:r>
              <w:rPr>
                <w:rFonts w:hint="eastAsia"/>
              </w:rPr>
              <w:t>MySQL（TCP，3306）</w:t>
            </w:r>
          </w:p>
        </w:tc>
        <w:tc>
          <w:tcPr>
            <w:tcW w:w="1559" w:type="dxa"/>
          </w:tcPr>
          <w:p>
            <w:pPr>
              <w:spacing w:line="360" w:lineRule="auto"/>
            </w:pPr>
            <w:r>
              <w:rPr>
                <w:rFonts w:hint="eastAsia"/>
              </w:rPr>
              <w:t>邮件应用角色</w:t>
            </w:r>
          </w:p>
        </w:tc>
        <w:tc>
          <w:tcPr>
            <w:tcW w:w="1276" w:type="dxa"/>
          </w:tcPr>
          <w:p>
            <w:pPr>
              <w:spacing w:line="360" w:lineRule="auto"/>
            </w:pPr>
            <w:r>
              <w:rPr>
                <w:rFonts w:hint="eastAsia"/>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2" w:type="dxa"/>
          </w:tcPr>
          <w:p>
            <w:pPr>
              <w:spacing w:line="360" w:lineRule="auto"/>
            </w:pPr>
            <w:r>
              <w:rPr>
                <w:rFonts w:hint="eastAsia"/>
              </w:rPr>
              <w:t>OA业务域</w:t>
            </w:r>
          </w:p>
        </w:tc>
        <w:tc>
          <w:tcPr>
            <w:tcW w:w="1637" w:type="dxa"/>
          </w:tcPr>
          <w:p>
            <w:pPr>
              <w:spacing w:line="360" w:lineRule="auto"/>
            </w:pPr>
            <w:r>
              <w:rPr>
                <w:rFonts w:hint="eastAsia"/>
              </w:rPr>
              <w:t>ALL</w:t>
            </w:r>
          </w:p>
        </w:tc>
        <w:tc>
          <w:tcPr>
            <w:tcW w:w="2268" w:type="dxa"/>
          </w:tcPr>
          <w:p>
            <w:pPr>
              <w:spacing w:line="360" w:lineRule="auto"/>
            </w:pPr>
            <w:r>
              <w:rPr>
                <w:rFonts w:hint="eastAsia"/>
              </w:rPr>
              <w:t>ALL</w:t>
            </w:r>
          </w:p>
        </w:tc>
        <w:tc>
          <w:tcPr>
            <w:tcW w:w="1559" w:type="dxa"/>
          </w:tcPr>
          <w:p>
            <w:pPr>
              <w:spacing w:line="360" w:lineRule="auto"/>
            </w:pPr>
            <w:r>
              <w:rPr>
                <w:rFonts w:hint="eastAsia"/>
              </w:rPr>
              <w:t>ALL</w:t>
            </w:r>
          </w:p>
        </w:tc>
        <w:tc>
          <w:tcPr>
            <w:tcW w:w="1276" w:type="dxa"/>
          </w:tcPr>
          <w:p>
            <w:pPr>
              <w:spacing w:line="360" w:lineRule="auto"/>
            </w:pPr>
            <w:r>
              <w:rPr>
                <w:rFonts w:hint="eastAsia"/>
              </w:rPr>
              <w:t>拒绝</w:t>
            </w:r>
          </w:p>
        </w:tc>
      </w:tr>
    </w:tbl>
    <w:p>
      <w:pPr>
        <w:spacing w:line="360" w:lineRule="auto"/>
        <w:ind w:firstLine="420"/>
        <w:jc w:val="center"/>
      </w:pPr>
      <w:r>
        <w:rPr>
          <w:rFonts w:hint="eastAsia"/>
          <w:sz w:val="20"/>
          <w:szCs w:val="20"/>
        </w:rPr>
        <w:t>表4</w:t>
      </w:r>
      <w:r>
        <w:rPr>
          <w:sz w:val="20"/>
          <w:szCs w:val="20"/>
        </w:rPr>
        <w:t>-1</w:t>
      </w:r>
      <w:r>
        <w:rPr>
          <w:sz w:val="20"/>
        </w:rPr>
        <w:t xml:space="preserve"> </w:t>
      </w:r>
      <w:r>
        <w:rPr>
          <w:rFonts w:hint="eastAsia"/>
          <w:sz w:val="20"/>
        </w:rPr>
        <w:t>微隔离角色</w:t>
      </w:r>
      <w:r>
        <w:rPr>
          <w:sz w:val="20"/>
        </w:rPr>
        <w:t>访问控制</w:t>
      </w:r>
    </w:p>
    <w:p>
      <w:pPr>
        <w:spacing w:line="360" w:lineRule="auto"/>
        <w:ind w:firstLine="426"/>
      </w:pPr>
      <w:r>
        <w:rPr>
          <w:rFonts w:hint="eastAsia"/>
        </w:rPr>
        <w:t>例如门户网站业务域的</w:t>
      </w:r>
      <w:r>
        <w:t>WEB</w:t>
      </w:r>
      <w:r>
        <w:rPr>
          <w:rFonts w:hint="eastAsia"/>
        </w:rPr>
        <w:t>应用角色服务器组提供</w:t>
      </w:r>
      <w:r>
        <w:t>Apache</w:t>
      </w:r>
      <w:r>
        <w:rPr>
          <w:rFonts w:hint="eastAsia"/>
        </w:rPr>
        <w:t>应用服务，策略动作允许门户网站业务域内所有主机的访问，而</w:t>
      </w:r>
      <w:r>
        <w:t>DB</w:t>
      </w:r>
      <w:r>
        <w:rPr>
          <w:rFonts w:hint="eastAsia"/>
        </w:rPr>
        <w:t>应用角色服务器组提供的</w:t>
      </w:r>
      <w:r>
        <w:t>MySQL</w:t>
      </w:r>
      <w:r>
        <w:rPr>
          <w:rFonts w:hint="eastAsia"/>
        </w:rPr>
        <w:t>应用服务，策略动作只允许门户网站业务域内的</w:t>
      </w:r>
      <w:r>
        <w:t>WEB</w:t>
      </w:r>
      <w:r>
        <w:rPr>
          <w:rFonts w:hint="eastAsia"/>
        </w:rPr>
        <w:t>应用角色服务器组的访问。</w:t>
      </w:r>
    </w:p>
    <w:p>
      <w:pPr>
        <w:spacing w:line="360" w:lineRule="auto"/>
        <w:ind w:firstLine="426"/>
      </w:pPr>
      <w:r>
        <w:rPr>
          <w:rFonts w:hint="eastAsia"/>
        </w:rPr>
        <w:t>门户网站业务域内</w:t>
      </w:r>
      <w:r>
        <w:t>WEB</w:t>
      </w:r>
      <w:r>
        <w:rPr>
          <w:rFonts w:hint="eastAsia"/>
        </w:rPr>
        <w:t>应用角色之间的主机，由于没有访问需求，配置为隔离拒绝策略。</w:t>
      </w:r>
    </w:p>
    <w:p>
      <w:pPr>
        <w:pStyle w:val="6"/>
        <w:spacing w:line="360" w:lineRule="auto"/>
      </w:pPr>
      <w:bookmarkStart w:id="32" w:name="_Toc6499611"/>
      <w:bookmarkStart w:id="33" w:name="_Toc23304"/>
      <w:r>
        <w:rPr>
          <w:rFonts w:hint="eastAsia"/>
        </w:rPr>
        <w:t>终端访问关系可视化</w:t>
      </w:r>
      <w:bookmarkEnd w:id="32"/>
      <w:bookmarkEnd w:id="33"/>
    </w:p>
    <w:p>
      <w:pPr>
        <w:spacing w:line="360" w:lineRule="auto"/>
        <w:ind w:firstLine="420"/>
      </w:pPr>
      <w:r>
        <w:rPr>
          <w:rFonts w:hint="eastAsia"/>
        </w:rPr>
        <w:t>在访问关系可视化中，采用统一管理的方式对终端的网络访问关系进行图形化展示，可以看到每个业务域内部各个终端的访问关系展示以及访问记录，也可以看到每个业务域之间的访问关系展示以及每个业务域的流量状态、访问趋势、流量排行，同时可以根据每个访问关系会生成访问关系控制策略，让用户决定是否启用该策略，减少了手动新增策略的工作量，提高了安全管理的效率</w:t>
      </w:r>
    </w:p>
    <w:p>
      <w:pPr>
        <w:spacing w:line="360" w:lineRule="auto"/>
      </w:pPr>
      <w:r>
        <w:drawing>
          <wp:inline distT="0" distB="0" distL="0" distR="0">
            <wp:extent cx="5274310" cy="3215005"/>
            <wp:effectExtent l="0" t="0" r="8890" b="10795"/>
            <wp:docPr id="18" name="图片 18"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无标题.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3215355"/>
                    </a:xfrm>
                    <a:prstGeom prst="rect">
                      <a:avLst/>
                    </a:prstGeom>
                    <a:noFill/>
                    <a:ln>
                      <a:noFill/>
                    </a:ln>
                  </pic:spPr>
                </pic:pic>
              </a:graphicData>
            </a:graphic>
          </wp:inline>
        </w:drawing>
      </w:r>
    </w:p>
    <w:p>
      <w:pPr>
        <w:spacing w:line="360" w:lineRule="auto"/>
        <w:ind w:firstLine="420"/>
      </w:pPr>
      <w:r>
        <w:rPr>
          <w:rFonts w:hint="eastAsia"/>
        </w:rPr>
        <w:t>创新</w:t>
      </w:r>
      <w:r>
        <w:t>微隔离技术，</w:t>
      </w:r>
      <w:r>
        <w:rPr>
          <w:rFonts w:hint="eastAsia"/>
        </w:rPr>
        <w:t>有效</w:t>
      </w:r>
      <w:r>
        <w:t>应对高级威胁快速传播，将</w:t>
      </w:r>
      <w:r>
        <w:rPr>
          <w:rFonts w:hint="eastAsia"/>
        </w:rPr>
        <w:t>病毒</w:t>
      </w:r>
      <w:r>
        <w:t>遏制在</w:t>
      </w:r>
      <w:r>
        <w:rPr>
          <w:rFonts w:hint="eastAsia"/>
        </w:rPr>
        <w:t>指定</w:t>
      </w:r>
      <w:r>
        <w:t>范围之内，使信息系统环境可控</w:t>
      </w:r>
      <w:r>
        <w:rPr>
          <w:rFonts w:hint="eastAsia"/>
        </w:rPr>
        <w:t>性</w:t>
      </w:r>
      <w:r>
        <w:t>大大提高</w:t>
      </w:r>
      <w:r>
        <w:rPr>
          <w:rFonts w:hint="eastAsia"/>
        </w:rPr>
        <w:t>。</w:t>
      </w:r>
    </w:p>
    <w:p>
      <w:pPr>
        <w:pStyle w:val="5"/>
        <w:spacing w:line="360" w:lineRule="auto"/>
      </w:pPr>
      <w:bookmarkStart w:id="34" w:name="_Toc31721"/>
      <w:r>
        <w:rPr>
          <w:rFonts w:hint="eastAsia"/>
        </w:rPr>
        <w:t>全网资产盘点</w:t>
      </w:r>
      <w:bookmarkEnd w:id="34"/>
    </w:p>
    <w:p>
      <w:pPr>
        <w:spacing w:line="360" w:lineRule="auto"/>
      </w:pPr>
      <w:r>
        <w:drawing>
          <wp:inline distT="0" distB="0" distL="0" distR="0">
            <wp:extent cx="5274310" cy="2146935"/>
            <wp:effectExtent l="0" t="0" r="8890" b="120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cstate="print">
                      <a:extLst>
                        <a:ext uri="{28A0092B-C50C-407E-A947-70E740481C1C}">
                          <a14:useLocalDpi xmlns:a14="http://schemas.microsoft.com/office/drawing/2010/main" val="0"/>
                        </a:ext>
                      </a:extLst>
                    </a:blip>
                    <a:srcRect t="10815"/>
                    <a:stretch>
                      <a:fillRect/>
                    </a:stretch>
                  </pic:blipFill>
                  <pic:spPr>
                    <a:xfrm>
                      <a:off x="0" y="0"/>
                      <a:ext cx="5274310" cy="2146935"/>
                    </a:xfrm>
                    <a:prstGeom prst="rect">
                      <a:avLst/>
                    </a:prstGeom>
                    <a:noFill/>
                    <a:ln>
                      <a:noFill/>
                    </a:ln>
                  </pic:spPr>
                </pic:pic>
              </a:graphicData>
            </a:graphic>
          </wp:inline>
        </w:drawing>
      </w:r>
    </w:p>
    <w:p>
      <w:pPr>
        <w:pStyle w:val="12"/>
        <w:spacing w:line="360" w:lineRule="auto"/>
        <w:jc w:val="center"/>
        <w:rPr>
          <w:rFonts w:ascii="宋体" w:hAnsi="宋体" w:eastAsia="宋体"/>
        </w:rPr>
      </w:pPr>
      <w:r>
        <w:rPr>
          <w:rFonts w:hint="eastAsia" w:ascii="宋体" w:hAnsi="宋体" w:eastAsia="宋体"/>
        </w:rPr>
        <w:t>图4</w:t>
      </w:r>
      <w:r>
        <w:rPr>
          <w:rFonts w:ascii="宋体" w:hAnsi="宋体" w:eastAsia="宋体"/>
        </w:rPr>
        <w:t xml:space="preserve">-3 </w:t>
      </w:r>
      <w:r>
        <w:rPr>
          <w:rFonts w:hint="eastAsia" w:ascii="宋体" w:hAnsi="宋体" w:eastAsia="宋体"/>
        </w:rPr>
        <w:t>全网资产</w:t>
      </w:r>
      <w:r>
        <w:rPr>
          <w:rFonts w:ascii="宋体" w:hAnsi="宋体" w:eastAsia="宋体"/>
        </w:rPr>
        <w:t>管理</w:t>
      </w:r>
    </w:p>
    <w:p>
      <w:pPr>
        <w:spacing w:line="360" w:lineRule="auto"/>
        <w:ind w:firstLine="426"/>
      </w:pPr>
      <w:r>
        <w:rPr>
          <w:rFonts w:hint="eastAsia"/>
        </w:rPr>
        <w:t>现</w:t>
      </w:r>
      <w:r>
        <w:t>信息系统中</w:t>
      </w:r>
      <w:r>
        <w:rPr>
          <w:rFonts w:hint="eastAsia"/>
        </w:rPr>
        <w:t>服务器、PC终端、应用等资产随着业务的增加而增加，资产的所有者与资产的关联关系不够清晰，安全责任难以落地。围绕资产的自身安全防护措施难以执行。对此，本</w:t>
      </w:r>
      <w:r>
        <w:t>方案将</w:t>
      </w:r>
      <w:r>
        <w:rPr>
          <w:rFonts w:hint="eastAsia"/>
        </w:rPr>
        <w:t>通过全面</w:t>
      </w:r>
      <w:r>
        <w:t>部署应用终端检测与响应系统，</w:t>
      </w:r>
      <w:r>
        <w:rPr>
          <w:rFonts w:hint="eastAsia"/>
        </w:rPr>
        <w:t>实现全网终端资产的全面管理</w:t>
      </w:r>
      <w:r>
        <w:t>功能</w:t>
      </w:r>
      <w:r>
        <w:rPr>
          <w:rFonts w:hint="eastAsia"/>
        </w:rPr>
        <w:t>，管理</w:t>
      </w:r>
      <w:r>
        <w:t>对象</w:t>
      </w:r>
      <w:r>
        <w:rPr>
          <w:rFonts w:hint="eastAsia"/>
        </w:rPr>
        <w:t>包含业务服务器主机和用户PC终端。盘点每台终端设备的名称、IP地址、MAC地址、所属组织、责任人、资产编号、资产位置等信息。使每台终端资产信息清晰展示，每个安全事件责任到人，从而将安全管理工作落实到位。</w:t>
      </w:r>
    </w:p>
    <w:p>
      <w:pPr>
        <w:pStyle w:val="5"/>
        <w:spacing w:line="360" w:lineRule="auto"/>
      </w:pPr>
      <w:bookmarkStart w:id="35" w:name="_Toc28543"/>
      <w:r>
        <w:rPr>
          <w:rFonts w:hint="eastAsia"/>
        </w:rPr>
        <w:t>漏洞补丁管理</w:t>
      </w:r>
      <w:bookmarkEnd w:id="35"/>
    </w:p>
    <w:p>
      <w:pPr>
        <w:spacing w:line="360" w:lineRule="auto"/>
        <w:ind w:firstLine="420"/>
      </w:pPr>
      <w:r>
        <w:rPr>
          <w:rFonts w:hint="eastAsia"/>
        </w:rPr>
        <w:t>补丁检测极大地简化了管理员甄别终端资产漏洞的流程，</w:t>
      </w:r>
      <w:r>
        <w:t>终端检测与响应系统</w:t>
      </w:r>
      <w:r>
        <w:rPr>
          <w:rFonts w:hint="eastAsia"/>
        </w:rPr>
        <w:t>产品支持各种类型不同的操作系统以及不同版本的操作系统的补丁规则库的更新，可以做到最新漏洞的实时检测与防御，并提供了漏洞检测与处置的功能，可以指定不同的终端进行全部、高危或者指定漏洞的检测，得到每一台终端的全部漏洞信息，并且可指定漏洞进行修复或者忽略处理。终端根据最新的补丁规则库进行系统补丁检测，匹配来判断当前是否已经进行补丁的安装，同时终端支持多种方式来获取最新的补丁安装包，包括微软补丁服务器、官方补丁服务器、管理平台以及自定义服务器。保证在网络隔离环境下，终端也可以通过管理平台来进行补丁的升级。</w:t>
      </w:r>
      <w:r>
        <w:t>终端检测与响应系统</w:t>
      </w:r>
      <w:r>
        <w:rPr>
          <w:rFonts w:hint="eastAsia"/>
        </w:rPr>
        <w:t>产品的漏洞检测、补丁更新，大大提高了管理效率，增强了终端资产的安全性。</w:t>
      </w:r>
    </w:p>
    <w:p>
      <w:pPr>
        <w:spacing w:line="360" w:lineRule="auto"/>
        <w:jc w:val="center"/>
      </w:pPr>
      <w:r>
        <w:drawing>
          <wp:inline distT="0" distB="0" distL="0" distR="0">
            <wp:extent cx="4580890" cy="2671445"/>
            <wp:effectExtent l="0" t="0" r="3810" b="8255"/>
            <wp:docPr id="21" name="图片 28"/>
            <wp:cNvGraphicFramePr/>
            <a:graphic xmlns:a="http://schemas.openxmlformats.org/drawingml/2006/main">
              <a:graphicData uri="http://schemas.openxmlformats.org/drawingml/2006/picture">
                <pic:pic xmlns:pic="http://schemas.openxmlformats.org/drawingml/2006/picture">
                  <pic:nvPicPr>
                    <pic:cNvPr id="21" name="图片 28"/>
                    <pic:cNvPicPr/>
                  </pic:nvPicPr>
                  <pic:blipFill>
                    <a:blip r:embed="rId23">
                      <a:extLst>
                        <a:ext uri="{28A0092B-C50C-407E-A947-70E740481C1C}">
                          <a14:useLocalDpi xmlns:a14="http://schemas.microsoft.com/office/drawing/2010/main" val="0"/>
                        </a:ext>
                      </a:extLst>
                    </a:blip>
                    <a:srcRect/>
                    <a:stretch>
                      <a:fillRect/>
                    </a:stretch>
                  </pic:blipFill>
                  <pic:spPr>
                    <a:xfrm>
                      <a:off x="0" y="0"/>
                      <a:ext cx="4580890" cy="2671445"/>
                    </a:xfrm>
                    <a:prstGeom prst="rect">
                      <a:avLst/>
                    </a:prstGeom>
                    <a:noFill/>
                    <a:ln>
                      <a:noFill/>
                    </a:ln>
                    <a:effectLst/>
                  </pic:spPr>
                </pic:pic>
              </a:graphicData>
            </a:graphic>
          </wp:inline>
        </w:drawing>
      </w:r>
    </w:p>
    <w:p>
      <w:pPr>
        <w:pStyle w:val="5"/>
        <w:spacing w:line="360" w:lineRule="auto"/>
      </w:pPr>
      <w:r>
        <w:rPr>
          <w:rFonts w:hint="eastAsia"/>
        </w:rPr>
        <w:t xml:space="preserve"> </w:t>
      </w:r>
      <w:bookmarkStart w:id="36" w:name="_Toc30620"/>
      <w:r>
        <w:rPr>
          <w:rFonts w:hint="eastAsia"/>
        </w:rPr>
        <w:t>全网威胁定位</w:t>
      </w:r>
      <w:bookmarkEnd w:id="36"/>
    </w:p>
    <w:p>
      <w:pPr>
        <w:pStyle w:val="6"/>
        <w:spacing w:line="360" w:lineRule="auto"/>
      </w:pPr>
      <w:bookmarkStart w:id="37" w:name="_Toc5414"/>
      <w:r>
        <w:rPr>
          <w:rFonts w:hint="eastAsia"/>
        </w:rPr>
        <w:t>内网威胁定位</w:t>
      </w:r>
      <w:bookmarkEnd w:id="37"/>
    </w:p>
    <w:p>
      <w:pPr>
        <w:spacing w:line="360" w:lineRule="auto"/>
        <w:jc w:val="center"/>
      </w:pPr>
      <w:r>
        <w:drawing>
          <wp:inline distT="0" distB="0" distL="114300" distR="114300">
            <wp:extent cx="5267325" cy="560070"/>
            <wp:effectExtent l="0" t="0" r="3175" b="1143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4"/>
                    <a:stretch>
                      <a:fillRect/>
                    </a:stretch>
                  </pic:blipFill>
                  <pic:spPr>
                    <a:xfrm>
                      <a:off x="0" y="0"/>
                      <a:ext cx="5267325" cy="560070"/>
                    </a:xfrm>
                    <a:prstGeom prst="rect">
                      <a:avLst/>
                    </a:prstGeom>
                    <a:noFill/>
                    <a:ln>
                      <a:noFill/>
                    </a:ln>
                  </pic:spPr>
                </pic:pic>
              </a:graphicData>
            </a:graphic>
          </wp:inline>
        </w:drawing>
      </w:r>
    </w:p>
    <w:p>
      <w:pPr>
        <w:spacing w:line="360" w:lineRule="auto"/>
        <w:jc w:val="center"/>
      </w:pPr>
      <w:r>
        <w:rPr>
          <w:rFonts w:hint="eastAsia"/>
        </w:rPr>
        <w:t>终端概况</w:t>
      </w:r>
    </w:p>
    <w:p>
      <w:pPr>
        <w:spacing w:line="360" w:lineRule="auto"/>
        <w:jc w:val="center"/>
      </w:pPr>
      <w:r>
        <w:drawing>
          <wp:inline distT="0" distB="0" distL="0" distR="0">
            <wp:extent cx="5274310" cy="573405"/>
            <wp:effectExtent l="0" t="0" r="8890" b="10795"/>
            <wp:docPr id="343" name="图片 342"/>
            <wp:cNvGraphicFramePr/>
            <a:graphic xmlns:a="http://schemas.openxmlformats.org/drawingml/2006/main">
              <a:graphicData uri="http://schemas.openxmlformats.org/drawingml/2006/picture">
                <pic:pic xmlns:pic="http://schemas.openxmlformats.org/drawingml/2006/picture">
                  <pic:nvPicPr>
                    <pic:cNvPr id="343" name="图片 342"/>
                    <pic:cNvPicPr/>
                  </pic:nvPicPr>
                  <pic:blipFill>
                    <a:blip r:embed="rId25"/>
                    <a:stretch>
                      <a:fillRect/>
                    </a:stretch>
                  </pic:blipFill>
                  <pic:spPr>
                    <a:xfrm>
                      <a:off x="0" y="0"/>
                      <a:ext cx="5274310" cy="573405"/>
                    </a:xfrm>
                    <a:prstGeom prst="rect">
                      <a:avLst/>
                    </a:prstGeom>
                    <a:noFill/>
                    <a:ln w="9525">
                      <a:noFill/>
                    </a:ln>
                  </pic:spPr>
                </pic:pic>
              </a:graphicData>
            </a:graphic>
          </wp:inline>
        </w:drawing>
      </w:r>
    </w:p>
    <w:p>
      <w:pPr>
        <w:spacing w:line="360" w:lineRule="auto"/>
        <w:jc w:val="center"/>
      </w:pPr>
      <w:r>
        <w:rPr>
          <w:rFonts w:hint="eastAsia"/>
        </w:rPr>
        <w:t>待处理高危事件</w:t>
      </w:r>
    </w:p>
    <w:p>
      <w:pPr>
        <w:spacing w:line="360" w:lineRule="auto"/>
        <w:jc w:val="center"/>
      </w:pPr>
      <w:r>
        <w:drawing>
          <wp:inline distT="0" distB="0" distL="0" distR="0">
            <wp:extent cx="5274310" cy="1894840"/>
            <wp:effectExtent l="0" t="0" r="8890" b="10160"/>
            <wp:docPr id="344" name="图片 343"/>
            <wp:cNvGraphicFramePr/>
            <a:graphic xmlns:a="http://schemas.openxmlformats.org/drawingml/2006/main">
              <a:graphicData uri="http://schemas.openxmlformats.org/drawingml/2006/picture">
                <pic:pic xmlns:pic="http://schemas.openxmlformats.org/drawingml/2006/picture">
                  <pic:nvPicPr>
                    <pic:cNvPr id="344" name="图片 343"/>
                    <pic:cNvPicPr/>
                  </pic:nvPicPr>
                  <pic:blipFill>
                    <a:blip r:embed="rId26"/>
                    <a:stretch>
                      <a:fillRect/>
                    </a:stretch>
                  </pic:blipFill>
                  <pic:spPr>
                    <a:xfrm>
                      <a:off x="0" y="0"/>
                      <a:ext cx="5274310" cy="1894840"/>
                    </a:xfrm>
                    <a:prstGeom prst="rect">
                      <a:avLst/>
                    </a:prstGeom>
                    <a:noFill/>
                    <a:ln w="9525">
                      <a:noFill/>
                    </a:ln>
                  </pic:spPr>
                </pic:pic>
              </a:graphicData>
            </a:graphic>
          </wp:inline>
        </w:drawing>
      </w:r>
    </w:p>
    <w:p>
      <w:pPr>
        <w:spacing w:line="360" w:lineRule="auto"/>
        <w:jc w:val="center"/>
      </w:pPr>
      <w:r>
        <w:rPr>
          <w:rFonts w:hint="eastAsia"/>
        </w:rPr>
        <w:t>威胁终端</w:t>
      </w:r>
    </w:p>
    <w:p>
      <w:pPr>
        <w:spacing w:line="360" w:lineRule="auto"/>
        <w:jc w:val="center"/>
      </w:pPr>
      <w:r>
        <w:drawing>
          <wp:inline distT="0" distB="0" distL="0" distR="0">
            <wp:extent cx="5274310" cy="1903730"/>
            <wp:effectExtent l="0" t="0" r="8890" b="1270"/>
            <wp:docPr id="345" name="图片 344"/>
            <wp:cNvGraphicFramePr/>
            <a:graphic xmlns:a="http://schemas.openxmlformats.org/drawingml/2006/main">
              <a:graphicData uri="http://schemas.openxmlformats.org/drawingml/2006/picture">
                <pic:pic xmlns:pic="http://schemas.openxmlformats.org/drawingml/2006/picture">
                  <pic:nvPicPr>
                    <pic:cNvPr id="345" name="图片 344"/>
                    <pic:cNvPicPr/>
                  </pic:nvPicPr>
                  <pic:blipFill>
                    <a:blip r:embed="rId27"/>
                    <a:stretch>
                      <a:fillRect/>
                    </a:stretch>
                  </pic:blipFill>
                  <pic:spPr>
                    <a:xfrm>
                      <a:off x="0" y="0"/>
                      <a:ext cx="5274310" cy="1903730"/>
                    </a:xfrm>
                    <a:prstGeom prst="rect">
                      <a:avLst/>
                    </a:prstGeom>
                    <a:noFill/>
                    <a:ln w="9525">
                      <a:noFill/>
                    </a:ln>
                  </pic:spPr>
                </pic:pic>
              </a:graphicData>
            </a:graphic>
          </wp:inline>
        </w:drawing>
      </w:r>
    </w:p>
    <w:p>
      <w:pPr>
        <w:spacing w:line="360" w:lineRule="auto"/>
        <w:jc w:val="center"/>
        <w:rPr>
          <w:sz w:val="20"/>
          <w:szCs w:val="20"/>
        </w:rPr>
      </w:pPr>
      <w:r>
        <w:rPr>
          <w:rFonts w:hint="eastAsia"/>
          <w:sz w:val="20"/>
          <w:szCs w:val="20"/>
        </w:rPr>
        <w:t>风险事件</w:t>
      </w:r>
    </w:p>
    <w:p>
      <w:pPr>
        <w:pStyle w:val="6"/>
        <w:spacing w:line="360" w:lineRule="auto"/>
      </w:pPr>
      <w:bookmarkStart w:id="38" w:name="_Toc13288"/>
      <w:r>
        <w:rPr>
          <w:rFonts w:hint="eastAsia"/>
        </w:rPr>
        <w:t>全网威胁定位</w:t>
      </w:r>
      <w:bookmarkEnd w:id="38"/>
    </w:p>
    <w:p>
      <w:pPr>
        <w:spacing w:line="360" w:lineRule="auto"/>
        <w:ind w:firstLine="426"/>
      </w:pPr>
      <w:r>
        <w:t>终端检测与响应系统</w:t>
      </w:r>
      <w:r>
        <w:rPr>
          <w:rFonts w:hint="eastAsia"/>
        </w:rPr>
        <w:t>，可</w:t>
      </w:r>
      <w:r>
        <w:t>提供</w:t>
      </w:r>
      <w:r>
        <w:rPr>
          <w:rFonts w:hint="eastAsia"/>
        </w:rPr>
        <w:t>全网</w:t>
      </w:r>
      <w:r>
        <w:t>威胁展示</w:t>
      </w:r>
      <w:r>
        <w:rPr>
          <w:rFonts w:hint="eastAsia"/>
        </w:rPr>
        <w:t>及</w:t>
      </w:r>
      <w:r>
        <w:t>定位功能，</w:t>
      </w:r>
      <w:r>
        <w:rPr>
          <w:rFonts w:hint="eastAsia"/>
        </w:rPr>
        <w:t>通过安全云脑的全球大数据安全分析，可将热点事件的IOC情报数据推送至</w:t>
      </w:r>
      <w:r>
        <w:t>终端检测与响应</w:t>
      </w:r>
      <w:r>
        <w:rPr>
          <w:rFonts w:hint="eastAsia"/>
        </w:rPr>
        <w:t>系统。</w:t>
      </w:r>
      <w:r>
        <w:t>终端检测与响应系统</w:t>
      </w:r>
      <w:r>
        <w:rPr>
          <w:rFonts w:hint="eastAsia"/>
        </w:rPr>
        <w:t>能根据IOC情报数据快速进行全网威胁定位分析，及时发现和响应最新的热点事件，该</w:t>
      </w:r>
      <w:r>
        <w:t>功能的有效</w:t>
      </w:r>
      <w:r>
        <w:rPr>
          <w:rFonts w:hint="eastAsia"/>
        </w:rPr>
        <w:t>应用</w:t>
      </w:r>
      <w:r>
        <w:t>，</w:t>
      </w:r>
      <w:r>
        <w:rPr>
          <w:rFonts w:hint="eastAsia"/>
        </w:rPr>
        <w:t>可</w:t>
      </w:r>
      <w:r>
        <w:t>实现快速定位网内威胁终端、同步处理</w:t>
      </w:r>
      <w:r>
        <w:rPr>
          <w:rFonts w:hint="eastAsia"/>
        </w:rPr>
        <w:t>、</w:t>
      </w:r>
      <w:r>
        <w:t>快速</w:t>
      </w:r>
      <w:r>
        <w:rPr>
          <w:rFonts w:hint="eastAsia"/>
        </w:rPr>
        <w:t>清除</w:t>
      </w:r>
      <w:r>
        <w:t>威胁等效果。</w:t>
      </w:r>
    </w:p>
    <w:p>
      <w:pPr>
        <w:pStyle w:val="4"/>
        <w:tabs>
          <w:tab w:val="left" w:pos="720"/>
          <w:tab w:val="clear" w:pos="840"/>
        </w:tabs>
        <w:spacing w:line="360" w:lineRule="auto"/>
        <w:ind w:hanging="859"/>
        <w:rPr>
          <w:b w:val="0"/>
          <w:bCs w:val="0"/>
          <w:lang w:eastAsia="zh-CN"/>
        </w:rPr>
      </w:pPr>
      <w:r>
        <w:rPr>
          <w:rFonts w:hint="eastAsia" w:ascii="Heiti SC Light" w:hAnsi="Heiti SC Light" w:eastAsia="Heiti SC Light" w:cs="仿宋"/>
          <w:b w:val="0"/>
          <w:bCs w:val="0"/>
          <w:color w:val="000000" w:themeColor="text1"/>
          <w:lang w:eastAsia="zh-CN"/>
          <w14:textFill>
            <w14:solidFill>
              <w14:schemeClr w14:val="tx1"/>
            </w14:solidFill>
          </w14:textFill>
        </w:rPr>
        <w:t>设备清单</w:t>
      </w:r>
    </w:p>
    <w:tbl>
      <w:tblPr>
        <w:tblStyle w:val="23"/>
        <w:tblW w:w="4927" w:type="pct"/>
        <w:tblInd w:w="0" w:type="dxa"/>
        <w:tblLayout w:type="autofit"/>
        <w:tblCellMar>
          <w:top w:w="0" w:type="dxa"/>
          <w:left w:w="108" w:type="dxa"/>
          <w:bottom w:w="0" w:type="dxa"/>
          <w:right w:w="108" w:type="dxa"/>
        </w:tblCellMar>
      </w:tblPr>
      <w:tblGrid>
        <w:gridCol w:w="2096"/>
        <w:gridCol w:w="6302"/>
      </w:tblGrid>
      <w:tr>
        <w:tblPrEx>
          <w:tblCellMar>
            <w:top w:w="0" w:type="dxa"/>
            <w:left w:w="108" w:type="dxa"/>
            <w:bottom w:w="0" w:type="dxa"/>
            <w:right w:w="108" w:type="dxa"/>
          </w:tblCellMar>
        </w:tblPrEx>
        <w:trPr>
          <w:trHeight w:val="545" w:hRule="atLeast"/>
        </w:trPr>
        <w:tc>
          <w:tcPr>
            <w:tcW w:w="124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widowControl w:val="0"/>
              <w:spacing w:line="36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设备名称</w:t>
            </w:r>
          </w:p>
        </w:tc>
        <w:tc>
          <w:tcPr>
            <w:tcW w:w="375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widowControl w:val="0"/>
              <w:spacing w:line="36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描述</w:t>
            </w:r>
          </w:p>
        </w:tc>
      </w:tr>
      <w:tr>
        <w:tblPrEx>
          <w:tblCellMar>
            <w:top w:w="0" w:type="dxa"/>
            <w:left w:w="108" w:type="dxa"/>
            <w:bottom w:w="0" w:type="dxa"/>
            <w:right w:w="108" w:type="dxa"/>
          </w:tblCellMar>
        </w:tblPrEx>
        <w:trPr>
          <w:trHeight w:val="805" w:hRule="atLeast"/>
        </w:trPr>
        <w:tc>
          <w:tcPr>
            <w:tcW w:w="12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360" w:lineRule="auto"/>
              <w:jc w:val="both"/>
              <w:rPr>
                <w:color w:val="000000" w:themeColor="text1"/>
                <w14:textFill>
                  <w14:solidFill>
                    <w14:schemeClr w14:val="tx1"/>
                  </w14:solidFill>
                </w14:textFill>
              </w:rPr>
            </w:pPr>
            <w:r>
              <w:t>终端检测与响应系统</w:t>
            </w:r>
            <w:r>
              <w:rPr>
                <w:rFonts w:hint="eastAsia"/>
                <w:color w:val="000000" w:themeColor="text1"/>
                <w14:textFill>
                  <w14:solidFill>
                    <w14:schemeClr w14:val="tx1"/>
                  </w14:solidFill>
                </w14:textFill>
              </w:rPr>
              <w:t>探针版 （XDR-软探针)</w:t>
            </w:r>
          </w:p>
        </w:tc>
        <w:tc>
          <w:tcPr>
            <w:tcW w:w="3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360" w:lineRule="auto"/>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包含1个控制中心+300个客户端</w:t>
            </w:r>
            <w:r>
              <w:rPr>
                <w:rFonts w:hint="eastAsia"/>
              </w:rPr>
              <w:t>（</w:t>
            </w:r>
            <w:r>
              <w:rPr>
                <w:rFonts w:hint="eastAsia"/>
                <w:color w:val="000000" w:themeColor="text1"/>
                <w14:textFill>
                  <w14:solidFill>
                    <w14:schemeClr w14:val="tx1"/>
                  </w14:solidFill>
                </w14:textFill>
              </w:rPr>
              <w:t>服务器探针版）软件及授权；控制中心含终端资产管理清点、终端基线检测、高级威胁行为检测、攻击可视化展示、威胁狩猎、级联管理、行为日志采集、安全日志采集等功能。</w:t>
            </w:r>
          </w:p>
        </w:tc>
      </w:tr>
      <w:tr>
        <w:tblPrEx>
          <w:tblCellMar>
            <w:top w:w="0" w:type="dxa"/>
            <w:left w:w="108" w:type="dxa"/>
            <w:bottom w:w="0" w:type="dxa"/>
            <w:right w:w="108" w:type="dxa"/>
          </w:tblCellMar>
        </w:tblPrEx>
        <w:trPr>
          <w:trHeight w:val="828" w:hRule="atLeast"/>
        </w:trPr>
        <w:tc>
          <w:tcPr>
            <w:tcW w:w="12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360" w:lineRule="auto"/>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分布式XDR硬件平台</w:t>
            </w:r>
          </w:p>
        </w:tc>
        <w:tc>
          <w:tcPr>
            <w:tcW w:w="3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360" w:lineRule="auto"/>
              <w:jc w:val="both"/>
            </w:pPr>
            <w:r>
              <w:rPr>
                <w:rFonts w:hint="eastAsia"/>
              </w:rPr>
              <w:t>基于分布式架构，包含3节点，日志量/天：4亿，每节点硬件设备规格如下：2U，CPU：2颗Intel® Xeon® Silver 4210R 2.4G（10C），内存：4*32GB DDR4 3200，系统盘：1*240GB SATA SSD，缓存盘：无缓存盘，数据盘：选配，标配盘位数：12，电源：白金，冗余电源，接口：4千兆电口+2万兆光口。</w:t>
            </w:r>
          </w:p>
          <w:p>
            <w:pPr>
              <w:pStyle w:val="2"/>
              <w:ind w:firstLine="0" w:firstLineChars="0"/>
              <w:rPr>
                <w:lang w:val="en-US"/>
              </w:rPr>
            </w:pPr>
            <w:r>
              <w:rPr>
                <w:rFonts w:hint="eastAsia"/>
                <w:lang w:val="en-US"/>
              </w:rPr>
              <w:t>含：高级漏洞管理、第三方日志分析、SOAR、云端威胁情报、安全事件深度挖掘XTH、移动运营小助手等模块；内置剧本交付服务；深度威胁狩猎服务(4次/年，共3年)；产品质保3年；软件升级3年</w:t>
            </w:r>
          </w:p>
        </w:tc>
      </w:tr>
    </w:tbl>
    <w:p>
      <w:pPr>
        <w:spacing w:line="360" w:lineRule="auto"/>
        <w:rPr>
          <w:b/>
          <w:bCs/>
        </w:rPr>
      </w:pPr>
    </w:p>
    <w:sectPr>
      <w:headerReference r:id="rId4" w:type="first"/>
      <w:footerReference r:id="rId6" w:type="first"/>
      <w:headerReference r:id="rId3" w:type="default"/>
      <w:footerReference r:id="rId5" w:type="default"/>
      <w:pgSz w:w="11906" w:h="16838"/>
      <w:pgMar w:top="1440" w:right="1800" w:bottom="1440" w:left="1800" w:header="851" w:footer="992" w:gutter="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2000503000000020004"/>
    <w:charset w:val="00"/>
    <w:family w:val="auto"/>
    <w:pitch w:val="default"/>
    <w:sig w:usb0="00000000" w:usb1="00000000" w:usb2="00000010" w:usb3="00000000" w:csb0="00000001" w:csb1="00000000"/>
  </w:font>
  <w:font w:name=".PingFang SC">
    <w:altName w:val="宋体"/>
    <w:panose1 w:val="020B0604020202020204"/>
    <w:charset w:val="86"/>
    <w:family w:val="roman"/>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Heiti SC Light">
    <w:altName w:val="Malgun Gothic Semilight"/>
    <w:panose1 w:val="02000000000000000000"/>
    <w:charset w:val="80"/>
    <w:family w:val="auto"/>
    <w:pitch w:val="default"/>
    <w:sig w:usb0="00000000" w:usb1="00000000" w:usb2="00000010" w:usb3="00000000" w:csb0="003E0001" w:csb1="00000000"/>
  </w:font>
  <w:font w:name="Wingdings">
    <w:panose1 w:val="05000000000000000000"/>
    <w:charset w:val="00"/>
    <w:family w:val="decorative"/>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Malgun Gothic Semilight">
    <w:panose1 w:val="020B0502040204020203"/>
    <w:charset w:val="86"/>
    <w:family w:val="auto"/>
    <w:pitch w:val="default"/>
    <w:sig w:usb0="900002AF" w:usb1="01D77CFB" w:usb2="00000012" w:usb3="00000000" w:csb0="203E01BD" w:csb1="D7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p>
  <w:p>
    <w:pPr>
      <w:pStyle w:val="16"/>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VycE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3VycEtAgAAVwQAAA4AAAAAAAAAAQAgAAAAHwEAAGRycy9lMm9Eb2MueG1sUEsFBgAAAAAG&#10;AAYAWQEAAL4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8pm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DsvKZoKwIAAFcEAAAOAAAAAAAAAAEAIAAAAB8BAABkcnMvZTJvRG9jLnhtbFBLBQYAAAAABgAG&#10;AFkBAAC8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48</w:t>
                    </w:r>
                    <w:r>
                      <w:fldChar w:fldCharType="end"/>
                    </w:r>
                  </w:p>
                </w:txbxContent>
              </v:textbox>
            </v:shape>
          </w:pict>
        </mc:Fallback>
      </mc:AlternateContent>
    </w:r>
    <w:sdt>
      <w:sdtPr>
        <w:id w:val="-1127238824"/>
      </w:sdtPr>
      <w:sdtContent/>
    </w:sdt>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3912A8"/>
    <w:multiLevelType w:val="singleLevel"/>
    <w:tmpl w:val="A93912A8"/>
    <w:lvl w:ilvl="0" w:tentative="0">
      <w:start w:val="1"/>
      <w:numFmt w:val="chineseCounting"/>
      <w:suff w:val="nothing"/>
      <w:lvlText w:val="（%1）"/>
      <w:lvlJc w:val="left"/>
      <w:pPr>
        <w:ind w:left="-420" w:firstLine="420"/>
      </w:pPr>
      <w:rPr>
        <w:rFonts w:hint="eastAsia"/>
      </w:rPr>
    </w:lvl>
  </w:abstractNum>
  <w:abstractNum w:abstractNumId="1">
    <w:nsid w:val="BD3D8EFA"/>
    <w:multiLevelType w:val="singleLevel"/>
    <w:tmpl w:val="BD3D8EFA"/>
    <w:lvl w:ilvl="0" w:tentative="0">
      <w:start w:val="1"/>
      <w:numFmt w:val="decimal"/>
      <w:lvlText w:val="%1)"/>
      <w:lvlJc w:val="left"/>
      <w:pPr>
        <w:ind w:left="425" w:hanging="425"/>
      </w:pPr>
      <w:rPr>
        <w:rFonts w:hint="default"/>
      </w:rPr>
    </w:lvl>
  </w:abstractNum>
  <w:abstractNum w:abstractNumId="2">
    <w:nsid w:val="C59DA29C"/>
    <w:multiLevelType w:val="singleLevel"/>
    <w:tmpl w:val="C59DA29C"/>
    <w:lvl w:ilvl="0" w:tentative="0">
      <w:start w:val="1"/>
      <w:numFmt w:val="bullet"/>
      <w:lvlText w:val=""/>
      <w:lvlJc w:val="left"/>
      <w:pPr>
        <w:ind w:left="420" w:hanging="420"/>
      </w:pPr>
      <w:rPr>
        <w:rFonts w:hint="default" w:ascii="Wingdings" w:hAnsi="Wingdings"/>
      </w:rPr>
    </w:lvl>
  </w:abstractNum>
  <w:abstractNum w:abstractNumId="3">
    <w:nsid w:val="CE348455"/>
    <w:multiLevelType w:val="multilevel"/>
    <w:tmpl w:val="CE348455"/>
    <w:lvl w:ilvl="0" w:tentative="0">
      <w:start w:val="2"/>
      <w:numFmt w:val="decimal"/>
      <w:lvlText w:val="第%1章 "/>
      <w:lvlJc w:val="left"/>
      <w:pPr>
        <w:tabs>
          <w:tab w:val="left" w:pos="2552"/>
        </w:tabs>
        <w:ind w:left="1985" w:firstLine="0"/>
      </w:pPr>
      <w:rPr>
        <w:rFonts w:hint="default" w:ascii="宋体" w:hAnsi="宋体" w:eastAsia="宋体" w:cs="宋体"/>
      </w:rPr>
    </w:lvl>
    <w:lvl w:ilvl="1" w:tentative="0">
      <w:start w:val="2"/>
      <w:numFmt w:val="decimal"/>
      <w:pStyle w:val="82"/>
      <w:lvlText w:val="%1.%2"/>
      <w:lvlJc w:val="left"/>
      <w:pPr>
        <w:tabs>
          <w:tab w:val="left" w:pos="567"/>
        </w:tabs>
        <w:ind w:left="0" w:firstLine="0"/>
      </w:pPr>
      <w:rPr>
        <w:rFonts w:hint="default" w:ascii="宋体" w:hAnsi="宋体" w:eastAsia="宋体" w:cs="宋体"/>
      </w:rPr>
    </w:lvl>
    <w:lvl w:ilvl="2" w:tentative="0">
      <w:start w:val="1"/>
      <w:numFmt w:val="decimal"/>
      <w:lvlText w:val="%1.%2.%3"/>
      <w:lvlJc w:val="left"/>
      <w:pPr>
        <w:tabs>
          <w:tab w:val="left" w:pos="850"/>
        </w:tabs>
        <w:ind w:left="283" w:firstLine="0"/>
      </w:pPr>
      <w:rPr>
        <w:rFonts w:hint="default" w:ascii="宋体" w:hAnsi="宋体" w:eastAsia="宋体" w:cs="宋体"/>
      </w:rPr>
    </w:lvl>
    <w:lvl w:ilvl="3" w:tentative="0">
      <w:start w:val="1"/>
      <w:numFmt w:val="decimal"/>
      <w:pStyle w:val="81"/>
      <w:lvlText w:val="%1.%2.%3.%4"/>
      <w:lvlJc w:val="left"/>
      <w:pPr>
        <w:tabs>
          <w:tab w:val="left" w:pos="567"/>
        </w:tabs>
        <w:ind w:left="0" w:firstLine="0"/>
      </w:pPr>
      <w:rPr>
        <w:rFonts w:hint="default" w:ascii="宋体" w:hAnsi="宋体" w:eastAsia="宋体" w:cs="宋体"/>
      </w:rPr>
    </w:lvl>
    <w:lvl w:ilvl="4" w:tentative="0">
      <w:start w:val="1"/>
      <w:numFmt w:val="decimal"/>
      <w:lvlText w:val="%1.%2.%3.%4.%5"/>
      <w:lvlJc w:val="left"/>
      <w:pPr>
        <w:tabs>
          <w:tab w:val="left" w:pos="567"/>
        </w:tabs>
        <w:ind w:left="0" w:firstLine="0"/>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F6788188"/>
    <w:multiLevelType w:val="singleLevel"/>
    <w:tmpl w:val="F6788188"/>
    <w:lvl w:ilvl="0" w:tentative="0">
      <w:start w:val="1"/>
      <w:numFmt w:val="decimal"/>
      <w:suff w:val="nothing"/>
      <w:lvlText w:val="%1、"/>
      <w:lvlJc w:val="left"/>
    </w:lvl>
  </w:abstractNum>
  <w:abstractNum w:abstractNumId="5">
    <w:nsid w:val="FD97CAD1"/>
    <w:multiLevelType w:val="singleLevel"/>
    <w:tmpl w:val="FD97CAD1"/>
    <w:lvl w:ilvl="0" w:tentative="0">
      <w:start w:val="1"/>
      <w:numFmt w:val="bullet"/>
      <w:lvlText w:val=""/>
      <w:lvlJc w:val="left"/>
      <w:pPr>
        <w:ind w:left="420" w:hanging="420"/>
      </w:pPr>
      <w:rPr>
        <w:rFonts w:hint="default" w:ascii="Wingdings" w:hAnsi="Wingdings"/>
      </w:rPr>
    </w:lvl>
  </w:abstractNum>
  <w:abstractNum w:abstractNumId="6">
    <w:nsid w:val="194EDBFC"/>
    <w:multiLevelType w:val="singleLevel"/>
    <w:tmpl w:val="194EDBFC"/>
    <w:lvl w:ilvl="0" w:tentative="0">
      <w:start w:val="1"/>
      <w:numFmt w:val="decimal"/>
      <w:lvlText w:val="%1)"/>
      <w:lvlJc w:val="left"/>
      <w:pPr>
        <w:ind w:left="425" w:hanging="425"/>
      </w:pPr>
      <w:rPr>
        <w:rFonts w:hint="default" w:ascii="宋体" w:hAnsi="宋体" w:eastAsia="宋体" w:cs="宋体"/>
      </w:rPr>
    </w:lvl>
  </w:abstractNum>
  <w:abstractNum w:abstractNumId="7">
    <w:nsid w:val="1A4908AD"/>
    <w:multiLevelType w:val="multilevel"/>
    <w:tmpl w:val="1A4908AD"/>
    <w:lvl w:ilvl="0" w:tentative="0">
      <w:start w:val="1"/>
      <w:numFmt w:val="decimal"/>
      <w:pStyle w:val="88"/>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A601892"/>
    <w:multiLevelType w:val="multilevel"/>
    <w:tmpl w:val="1A60189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26CC1D4B"/>
    <w:multiLevelType w:val="multilevel"/>
    <w:tmpl w:val="26CC1D4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3BFC0497"/>
    <w:multiLevelType w:val="multilevel"/>
    <w:tmpl w:val="3BFC0497"/>
    <w:lvl w:ilvl="0" w:tentative="0">
      <w:start w:val="1"/>
      <w:numFmt w:val="decimal"/>
      <w:isLgl/>
      <w:suff w:val="space"/>
      <w:lvlText w:val="%1."/>
      <w:lvlJc w:val="left"/>
      <w:pPr>
        <w:ind w:left="0" w:firstLine="0"/>
      </w:pPr>
      <w:rPr>
        <w:rFonts w:hint="default" w:ascii="Arial" w:hAnsi="Arial" w:cs="Arial"/>
        <w:b/>
        <w:bCs/>
      </w:rPr>
    </w:lvl>
    <w:lvl w:ilvl="1" w:tentative="0">
      <w:start w:val="1"/>
      <w:numFmt w:val="decimal"/>
      <w:isLgl/>
      <w:suff w:val="space"/>
      <w:lvlText w:val="%1.%2."/>
      <w:lvlJc w:val="left"/>
      <w:pPr>
        <w:ind w:left="0" w:firstLine="0"/>
      </w:pPr>
      <w:rPr>
        <w:b/>
        <w:bCs/>
        <w:i w:val="0"/>
        <w:iCs w:val="0"/>
        <w:caps w:val="0"/>
        <w:smallCaps w:val="0"/>
        <w:strike w:val="0"/>
        <w:dstrike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pStyle w:val="85"/>
      <w:isLgl/>
      <w:suff w:val="space"/>
      <w:lvlText w:val="%1.%2.%3."/>
      <w:lvlJc w:val="left"/>
      <w:pPr>
        <w:ind w:left="0" w:firstLine="0"/>
      </w:pPr>
      <w:rPr>
        <w:rFonts w:hint="default" w:ascii="Arial" w:hAnsi="Arial" w:cs="Arial"/>
      </w:rPr>
    </w:lvl>
    <w:lvl w:ilvl="3" w:tentative="0">
      <w:start w:val="1"/>
      <w:numFmt w:val="decimal"/>
      <w:pStyle w:val="86"/>
      <w:isLgl/>
      <w:suff w:val="space"/>
      <w:lvlText w:val="%1.%2.%3.%4."/>
      <w:lvlJc w:val="left"/>
      <w:pPr>
        <w:ind w:left="0" w:firstLine="0"/>
      </w:pPr>
      <w:rPr>
        <w:rFonts w:hint="default" w:ascii="Arial" w:hAnsi="Arial" w:cs="Arial"/>
        <w:b/>
        <w:bCs/>
        <w:i w:val="0"/>
        <w:iCs w:val="0"/>
        <w:caps w:val="0"/>
        <w:smallCaps w:val="0"/>
        <w:strike w:val="0"/>
        <w:dstrike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
    <w:nsid w:val="55B36921"/>
    <w:multiLevelType w:val="multilevel"/>
    <w:tmpl w:val="55B36921"/>
    <w:lvl w:ilvl="0" w:tentative="0">
      <w:start w:val="1"/>
      <w:numFmt w:val="decimal"/>
      <w:pStyle w:val="3"/>
      <w:lvlText w:val="%1."/>
      <w:lvlJc w:val="left"/>
      <w:pPr>
        <w:tabs>
          <w:tab w:val="left" w:pos="432"/>
        </w:tabs>
        <w:ind w:left="432" w:hanging="432"/>
      </w:pPr>
      <w:rPr>
        <w:rFonts w:hint="eastAsia" w:ascii="黑体" w:hAnsi="黑体" w:eastAsia="黑体"/>
      </w:rPr>
    </w:lvl>
    <w:lvl w:ilvl="1" w:tentative="0">
      <w:start w:val="1"/>
      <w:numFmt w:val="decimal"/>
      <w:pStyle w:val="4"/>
      <w:lvlText w:val="%1.%2"/>
      <w:lvlJc w:val="left"/>
      <w:pPr>
        <w:tabs>
          <w:tab w:val="left" w:pos="859"/>
        </w:tabs>
        <w:ind w:left="859" w:hanging="576"/>
      </w:pPr>
      <w:rPr>
        <w:rFonts w:hint="eastAsia"/>
      </w:rPr>
    </w:lvl>
    <w:lvl w:ilvl="2" w:tentative="0">
      <w:start w:val="1"/>
      <w:numFmt w:val="decimal"/>
      <w:pStyle w:val="5"/>
      <w:lvlText w:val="%1.%2.%3"/>
      <w:lvlJc w:val="left"/>
      <w:pPr>
        <w:tabs>
          <w:tab w:val="left" w:pos="720"/>
        </w:tabs>
        <w:ind w:left="720" w:hanging="720"/>
      </w:pPr>
      <w:rPr>
        <w:rFonts w:hint="eastAsia"/>
        <w:b/>
        <w:sz w:val="28"/>
        <w:szCs w:val="21"/>
      </w:rPr>
    </w:lvl>
    <w:lvl w:ilvl="3" w:tentative="0">
      <w:start w:val="1"/>
      <w:numFmt w:val="decimal"/>
      <w:pStyle w:val="6"/>
      <w:lvlText w:val="%1.%2.%3.%4"/>
      <w:lvlJc w:val="left"/>
      <w:pPr>
        <w:tabs>
          <w:tab w:val="left" w:pos="864"/>
        </w:tabs>
        <w:ind w:left="864" w:hanging="864"/>
      </w:pPr>
      <w:rPr>
        <w:rFonts w:hint="eastAsia"/>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2">
    <w:nsid w:val="614B371D"/>
    <w:multiLevelType w:val="multilevel"/>
    <w:tmpl w:val="614B371D"/>
    <w:lvl w:ilvl="0" w:tentative="0">
      <w:start w:val="1"/>
      <w:numFmt w:val="japaneseCounting"/>
      <w:lvlText w:val="%1、"/>
      <w:lvlJc w:val="left"/>
      <w:pPr>
        <w:ind w:left="880" w:hanging="8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0C45358"/>
    <w:multiLevelType w:val="multilevel"/>
    <w:tmpl w:val="70C45358"/>
    <w:lvl w:ilvl="0" w:tentative="0">
      <w:start w:val="1"/>
      <w:numFmt w:val="decimal"/>
      <w:lvlText w:val="第%1章 "/>
      <w:lvlJc w:val="left"/>
      <w:pPr>
        <w:tabs>
          <w:tab w:val="left" w:pos="2552"/>
        </w:tabs>
        <w:ind w:left="1985" w:firstLine="0"/>
      </w:pPr>
      <w:rPr>
        <w:rFonts w:hint="eastAsia"/>
      </w:rPr>
    </w:lvl>
    <w:lvl w:ilvl="1" w:tentative="0">
      <w:start w:val="1"/>
      <w:numFmt w:val="decimal"/>
      <w:pStyle w:val="80"/>
      <w:lvlText w:val="%1.%2"/>
      <w:lvlJc w:val="left"/>
      <w:pPr>
        <w:tabs>
          <w:tab w:val="left" w:pos="567"/>
        </w:tabs>
        <w:ind w:left="0" w:firstLine="0"/>
      </w:pPr>
      <w:rPr>
        <w:rFonts w:hint="eastAsia"/>
      </w:rPr>
    </w:lvl>
    <w:lvl w:ilvl="2" w:tentative="0">
      <w:start w:val="1"/>
      <w:numFmt w:val="decimal"/>
      <w:lvlText w:val="%1.%2.%3"/>
      <w:lvlJc w:val="left"/>
      <w:pPr>
        <w:tabs>
          <w:tab w:val="left" w:pos="850"/>
        </w:tabs>
        <w:ind w:left="283" w:firstLine="0"/>
      </w:pPr>
      <w:rPr>
        <w:rFonts w:hint="eastAsia"/>
      </w:rPr>
    </w:lvl>
    <w:lvl w:ilvl="3" w:tentative="0">
      <w:start w:val="1"/>
      <w:numFmt w:val="decimal"/>
      <w:lvlText w:val="%1.%2.%3.%4"/>
      <w:lvlJc w:val="left"/>
      <w:pPr>
        <w:tabs>
          <w:tab w:val="left" w:pos="567"/>
        </w:tabs>
        <w:ind w:left="0" w:firstLine="0"/>
      </w:pPr>
      <w:rPr>
        <w:rFonts w:hint="eastAsia"/>
      </w:rPr>
    </w:lvl>
    <w:lvl w:ilvl="4" w:tentative="0">
      <w:start w:val="1"/>
      <w:numFmt w:val="decimal"/>
      <w:lvlText w:val="%1.%2.%3.%4.%5"/>
      <w:lvlJc w:val="left"/>
      <w:pPr>
        <w:tabs>
          <w:tab w:val="left" w:pos="567"/>
        </w:tabs>
        <w:ind w:left="0" w:firstLine="0"/>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1"/>
  </w:num>
  <w:num w:numId="2">
    <w:abstractNumId w:val="13"/>
  </w:num>
  <w:num w:numId="3">
    <w:abstractNumId w:val="3"/>
  </w:num>
  <w:num w:numId="4">
    <w:abstractNumId w:val="10"/>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4"/>
  </w:num>
  <w:num w:numId="11">
    <w:abstractNumId w:val="0"/>
  </w:num>
  <w:num w:numId="12">
    <w:abstractNumId w:val="2"/>
  </w:num>
  <w:num w:numId="13">
    <w:abstractNumId w:val="1"/>
  </w:num>
  <w:num w:numId="14">
    <w:abstractNumId w:val="5"/>
  </w:num>
  <w:num w:numId="15">
    <w:abstractNumId w:val="6"/>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105"/>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3YWQ2Y2JjM2RhZTg3ZGY1OTgyZWNhNDQ5ZjA4ZGYifQ=="/>
  </w:docVars>
  <w:rsids>
    <w:rsidRoot w:val="00734451"/>
    <w:rsid w:val="00002CCA"/>
    <w:rsid w:val="00005524"/>
    <w:rsid w:val="000059EC"/>
    <w:rsid w:val="00005AC2"/>
    <w:rsid w:val="000072A9"/>
    <w:rsid w:val="00010056"/>
    <w:rsid w:val="00014606"/>
    <w:rsid w:val="0001460A"/>
    <w:rsid w:val="00016F34"/>
    <w:rsid w:val="00017D1D"/>
    <w:rsid w:val="00020A92"/>
    <w:rsid w:val="00023D44"/>
    <w:rsid w:val="00024AF5"/>
    <w:rsid w:val="00024C84"/>
    <w:rsid w:val="0002607B"/>
    <w:rsid w:val="0002637E"/>
    <w:rsid w:val="0002660C"/>
    <w:rsid w:val="00026F74"/>
    <w:rsid w:val="00027761"/>
    <w:rsid w:val="00032A6C"/>
    <w:rsid w:val="00036D5B"/>
    <w:rsid w:val="00044B7C"/>
    <w:rsid w:val="00044E31"/>
    <w:rsid w:val="000456C5"/>
    <w:rsid w:val="00051304"/>
    <w:rsid w:val="00055FC3"/>
    <w:rsid w:val="00063378"/>
    <w:rsid w:val="0006381E"/>
    <w:rsid w:val="000658EB"/>
    <w:rsid w:val="000738F9"/>
    <w:rsid w:val="00073E7D"/>
    <w:rsid w:val="00080E7D"/>
    <w:rsid w:val="000828C2"/>
    <w:rsid w:val="00090673"/>
    <w:rsid w:val="00091FB1"/>
    <w:rsid w:val="00092AFE"/>
    <w:rsid w:val="00095556"/>
    <w:rsid w:val="000974B9"/>
    <w:rsid w:val="000A00A4"/>
    <w:rsid w:val="000A114E"/>
    <w:rsid w:val="000A70B1"/>
    <w:rsid w:val="000B14D9"/>
    <w:rsid w:val="000B27E7"/>
    <w:rsid w:val="000B336A"/>
    <w:rsid w:val="000B3B1A"/>
    <w:rsid w:val="000B5996"/>
    <w:rsid w:val="000B6A6B"/>
    <w:rsid w:val="000B70FF"/>
    <w:rsid w:val="000D2EED"/>
    <w:rsid w:val="000D5007"/>
    <w:rsid w:val="000E21A1"/>
    <w:rsid w:val="000E7762"/>
    <w:rsid w:val="000F0EA0"/>
    <w:rsid w:val="000F1439"/>
    <w:rsid w:val="000F2A80"/>
    <w:rsid w:val="000F6AA9"/>
    <w:rsid w:val="000F6F9E"/>
    <w:rsid w:val="0011292C"/>
    <w:rsid w:val="00115818"/>
    <w:rsid w:val="0011726D"/>
    <w:rsid w:val="00121D40"/>
    <w:rsid w:val="001230CB"/>
    <w:rsid w:val="001274D0"/>
    <w:rsid w:val="0013074D"/>
    <w:rsid w:val="001324CC"/>
    <w:rsid w:val="00132702"/>
    <w:rsid w:val="00135D19"/>
    <w:rsid w:val="00135ECD"/>
    <w:rsid w:val="00137FCD"/>
    <w:rsid w:val="0014277B"/>
    <w:rsid w:val="00145278"/>
    <w:rsid w:val="00145519"/>
    <w:rsid w:val="001514E4"/>
    <w:rsid w:val="0015294C"/>
    <w:rsid w:val="00154D77"/>
    <w:rsid w:val="0015602C"/>
    <w:rsid w:val="001636F0"/>
    <w:rsid w:val="00166BF0"/>
    <w:rsid w:val="0017356D"/>
    <w:rsid w:val="00174EDE"/>
    <w:rsid w:val="0017649C"/>
    <w:rsid w:val="00181D03"/>
    <w:rsid w:val="0018345B"/>
    <w:rsid w:val="0018444C"/>
    <w:rsid w:val="0018501D"/>
    <w:rsid w:val="001865B5"/>
    <w:rsid w:val="00191187"/>
    <w:rsid w:val="00192E86"/>
    <w:rsid w:val="00193B21"/>
    <w:rsid w:val="00194D6A"/>
    <w:rsid w:val="00194DB8"/>
    <w:rsid w:val="00196EEE"/>
    <w:rsid w:val="00197754"/>
    <w:rsid w:val="001A0FA3"/>
    <w:rsid w:val="001A2391"/>
    <w:rsid w:val="001A538D"/>
    <w:rsid w:val="001C2651"/>
    <w:rsid w:val="001C455B"/>
    <w:rsid w:val="001C5D34"/>
    <w:rsid w:val="001D07D9"/>
    <w:rsid w:val="001D0FA7"/>
    <w:rsid w:val="001D181D"/>
    <w:rsid w:val="001D2FC8"/>
    <w:rsid w:val="001D44A7"/>
    <w:rsid w:val="001E19A0"/>
    <w:rsid w:val="001E5366"/>
    <w:rsid w:val="001F2374"/>
    <w:rsid w:val="001F2FEA"/>
    <w:rsid w:val="001F368D"/>
    <w:rsid w:val="00202A37"/>
    <w:rsid w:val="002033EF"/>
    <w:rsid w:val="0020706C"/>
    <w:rsid w:val="00211882"/>
    <w:rsid w:val="00231B26"/>
    <w:rsid w:val="002339C8"/>
    <w:rsid w:val="00233E33"/>
    <w:rsid w:val="00234E69"/>
    <w:rsid w:val="002370D6"/>
    <w:rsid w:val="0024457A"/>
    <w:rsid w:val="002454A4"/>
    <w:rsid w:val="00245513"/>
    <w:rsid w:val="00257290"/>
    <w:rsid w:val="002627A6"/>
    <w:rsid w:val="00266896"/>
    <w:rsid w:val="00266A18"/>
    <w:rsid w:val="0026756E"/>
    <w:rsid w:val="0027271F"/>
    <w:rsid w:val="00273788"/>
    <w:rsid w:val="00274468"/>
    <w:rsid w:val="00275C9F"/>
    <w:rsid w:val="00283352"/>
    <w:rsid w:val="0028764F"/>
    <w:rsid w:val="002940DE"/>
    <w:rsid w:val="0029516A"/>
    <w:rsid w:val="00296C43"/>
    <w:rsid w:val="0029717C"/>
    <w:rsid w:val="002A4A76"/>
    <w:rsid w:val="002A7997"/>
    <w:rsid w:val="002B228F"/>
    <w:rsid w:val="002B2A67"/>
    <w:rsid w:val="002B6FB1"/>
    <w:rsid w:val="002C5F00"/>
    <w:rsid w:val="002C67A4"/>
    <w:rsid w:val="002C684F"/>
    <w:rsid w:val="002D1041"/>
    <w:rsid w:val="002E0378"/>
    <w:rsid w:val="002E0A02"/>
    <w:rsid w:val="002F125A"/>
    <w:rsid w:val="002F5629"/>
    <w:rsid w:val="002F6AF9"/>
    <w:rsid w:val="002F734B"/>
    <w:rsid w:val="00300884"/>
    <w:rsid w:val="003009A3"/>
    <w:rsid w:val="00301564"/>
    <w:rsid w:val="00302158"/>
    <w:rsid w:val="00304D14"/>
    <w:rsid w:val="003134E1"/>
    <w:rsid w:val="0031449D"/>
    <w:rsid w:val="00314D19"/>
    <w:rsid w:val="00314D3F"/>
    <w:rsid w:val="00314E09"/>
    <w:rsid w:val="00316B76"/>
    <w:rsid w:val="0031744B"/>
    <w:rsid w:val="003206F4"/>
    <w:rsid w:val="003217E6"/>
    <w:rsid w:val="00322D6D"/>
    <w:rsid w:val="00331BCA"/>
    <w:rsid w:val="00357B5C"/>
    <w:rsid w:val="0036396F"/>
    <w:rsid w:val="00364C0D"/>
    <w:rsid w:val="0036789B"/>
    <w:rsid w:val="00370F3B"/>
    <w:rsid w:val="0037108A"/>
    <w:rsid w:val="003724A7"/>
    <w:rsid w:val="00373527"/>
    <w:rsid w:val="00377949"/>
    <w:rsid w:val="00377AE8"/>
    <w:rsid w:val="00384011"/>
    <w:rsid w:val="00384C38"/>
    <w:rsid w:val="00384F46"/>
    <w:rsid w:val="003864E3"/>
    <w:rsid w:val="0039168E"/>
    <w:rsid w:val="00392A08"/>
    <w:rsid w:val="00394863"/>
    <w:rsid w:val="00394B47"/>
    <w:rsid w:val="00396D28"/>
    <w:rsid w:val="00396E14"/>
    <w:rsid w:val="003A24AF"/>
    <w:rsid w:val="003A7D30"/>
    <w:rsid w:val="003B02D1"/>
    <w:rsid w:val="003B17B5"/>
    <w:rsid w:val="003B7780"/>
    <w:rsid w:val="003C65DA"/>
    <w:rsid w:val="003D12C4"/>
    <w:rsid w:val="003D2C7A"/>
    <w:rsid w:val="003D65F8"/>
    <w:rsid w:val="003E3C03"/>
    <w:rsid w:val="003E3D16"/>
    <w:rsid w:val="003E4494"/>
    <w:rsid w:val="003E5224"/>
    <w:rsid w:val="003E5967"/>
    <w:rsid w:val="003F2181"/>
    <w:rsid w:val="003F252E"/>
    <w:rsid w:val="003F4DE0"/>
    <w:rsid w:val="003F5CE8"/>
    <w:rsid w:val="003F6F51"/>
    <w:rsid w:val="003F703C"/>
    <w:rsid w:val="0040153D"/>
    <w:rsid w:val="004065C7"/>
    <w:rsid w:val="00407610"/>
    <w:rsid w:val="0040796D"/>
    <w:rsid w:val="00410AD7"/>
    <w:rsid w:val="00410EC0"/>
    <w:rsid w:val="004114E2"/>
    <w:rsid w:val="00415EE9"/>
    <w:rsid w:val="00416EE2"/>
    <w:rsid w:val="00417451"/>
    <w:rsid w:val="004204C3"/>
    <w:rsid w:val="0042106B"/>
    <w:rsid w:val="0042414F"/>
    <w:rsid w:val="0043024F"/>
    <w:rsid w:val="00437983"/>
    <w:rsid w:val="00437A7D"/>
    <w:rsid w:val="00450796"/>
    <w:rsid w:val="004507C5"/>
    <w:rsid w:val="0045405D"/>
    <w:rsid w:val="00454AD0"/>
    <w:rsid w:val="00467B30"/>
    <w:rsid w:val="00471F0B"/>
    <w:rsid w:val="00480541"/>
    <w:rsid w:val="004825EF"/>
    <w:rsid w:val="0048263A"/>
    <w:rsid w:val="00485DB0"/>
    <w:rsid w:val="00486236"/>
    <w:rsid w:val="00486C43"/>
    <w:rsid w:val="004924F1"/>
    <w:rsid w:val="004A1475"/>
    <w:rsid w:val="004A277E"/>
    <w:rsid w:val="004A2C79"/>
    <w:rsid w:val="004A5C64"/>
    <w:rsid w:val="004A73C8"/>
    <w:rsid w:val="004A755A"/>
    <w:rsid w:val="004B1777"/>
    <w:rsid w:val="004C05CE"/>
    <w:rsid w:val="004C230C"/>
    <w:rsid w:val="004C3D44"/>
    <w:rsid w:val="004C453E"/>
    <w:rsid w:val="004C77B3"/>
    <w:rsid w:val="004D3354"/>
    <w:rsid w:val="004D33AE"/>
    <w:rsid w:val="004D3B76"/>
    <w:rsid w:val="004D7835"/>
    <w:rsid w:val="004E470A"/>
    <w:rsid w:val="004E7D39"/>
    <w:rsid w:val="004F1462"/>
    <w:rsid w:val="004F3683"/>
    <w:rsid w:val="004F5D92"/>
    <w:rsid w:val="004F63D1"/>
    <w:rsid w:val="00511151"/>
    <w:rsid w:val="00517409"/>
    <w:rsid w:val="00517B80"/>
    <w:rsid w:val="005231A1"/>
    <w:rsid w:val="00523CD9"/>
    <w:rsid w:val="00524D98"/>
    <w:rsid w:val="00544296"/>
    <w:rsid w:val="005444BA"/>
    <w:rsid w:val="00552C05"/>
    <w:rsid w:val="00553806"/>
    <w:rsid w:val="00553808"/>
    <w:rsid w:val="00553D94"/>
    <w:rsid w:val="00554DC8"/>
    <w:rsid w:val="005644F2"/>
    <w:rsid w:val="00565CFA"/>
    <w:rsid w:val="00571D46"/>
    <w:rsid w:val="005736C4"/>
    <w:rsid w:val="0057607F"/>
    <w:rsid w:val="0059442B"/>
    <w:rsid w:val="00596D86"/>
    <w:rsid w:val="005A1FCD"/>
    <w:rsid w:val="005A2989"/>
    <w:rsid w:val="005A7C35"/>
    <w:rsid w:val="005B1170"/>
    <w:rsid w:val="005B1C50"/>
    <w:rsid w:val="005B268A"/>
    <w:rsid w:val="005B7C58"/>
    <w:rsid w:val="005B7F92"/>
    <w:rsid w:val="005C19DF"/>
    <w:rsid w:val="005D7884"/>
    <w:rsid w:val="005E00E5"/>
    <w:rsid w:val="005E4160"/>
    <w:rsid w:val="005E4D21"/>
    <w:rsid w:val="005E69CB"/>
    <w:rsid w:val="005F4263"/>
    <w:rsid w:val="00601076"/>
    <w:rsid w:val="00606CAD"/>
    <w:rsid w:val="00612559"/>
    <w:rsid w:val="00612679"/>
    <w:rsid w:val="0061326D"/>
    <w:rsid w:val="00613B7F"/>
    <w:rsid w:val="00624F9A"/>
    <w:rsid w:val="006302FA"/>
    <w:rsid w:val="00631BF7"/>
    <w:rsid w:val="00633A29"/>
    <w:rsid w:val="00637BB5"/>
    <w:rsid w:val="006406C4"/>
    <w:rsid w:val="00652A85"/>
    <w:rsid w:val="00654A9D"/>
    <w:rsid w:val="006574F7"/>
    <w:rsid w:val="00680A8C"/>
    <w:rsid w:val="00681574"/>
    <w:rsid w:val="006821A1"/>
    <w:rsid w:val="006844CE"/>
    <w:rsid w:val="00685628"/>
    <w:rsid w:val="00690EDD"/>
    <w:rsid w:val="00691D96"/>
    <w:rsid w:val="006940D4"/>
    <w:rsid w:val="00694E47"/>
    <w:rsid w:val="00695BCA"/>
    <w:rsid w:val="006977FB"/>
    <w:rsid w:val="006A2663"/>
    <w:rsid w:val="006B0202"/>
    <w:rsid w:val="006B7F44"/>
    <w:rsid w:val="006C3568"/>
    <w:rsid w:val="006D2E30"/>
    <w:rsid w:val="006D406A"/>
    <w:rsid w:val="006D48D0"/>
    <w:rsid w:val="006D4D08"/>
    <w:rsid w:val="006D4E4E"/>
    <w:rsid w:val="006D73B7"/>
    <w:rsid w:val="006F1BBC"/>
    <w:rsid w:val="006F1C02"/>
    <w:rsid w:val="006F2BC3"/>
    <w:rsid w:val="006F4C18"/>
    <w:rsid w:val="006F7620"/>
    <w:rsid w:val="0070117A"/>
    <w:rsid w:val="00704E18"/>
    <w:rsid w:val="007068EA"/>
    <w:rsid w:val="00707EBF"/>
    <w:rsid w:val="00710185"/>
    <w:rsid w:val="00733705"/>
    <w:rsid w:val="007341E2"/>
    <w:rsid w:val="00734451"/>
    <w:rsid w:val="00745ACF"/>
    <w:rsid w:val="00745DA8"/>
    <w:rsid w:val="00747411"/>
    <w:rsid w:val="00747BB1"/>
    <w:rsid w:val="007508BE"/>
    <w:rsid w:val="00756429"/>
    <w:rsid w:val="00762C32"/>
    <w:rsid w:val="0077156B"/>
    <w:rsid w:val="00772B15"/>
    <w:rsid w:val="00774B9E"/>
    <w:rsid w:val="00777023"/>
    <w:rsid w:val="007867A8"/>
    <w:rsid w:val="00787EBE"/>
    <w:rsid w:val="00792A61"/>
    <w:rsid w:val="00792D67"/>
    <w:rsid w:val="00792F21"/>
    <w:rsid w:val="007950EB"/>
    <w:rsid w:val="00795247"/>
    <w:rsid w:val="0079694F"/>
    <w:rsid w:val="007A073C"/>
    <w:rsid w:val="007A0B59"/>
    <w:rsid w:val="007A2FB3"/>
    <w:rsid w:val="007A4F32"/>
    <w:rsid w:val="007B120D"/>
    <w:rsid w:val="007B3DC0"/>
    <w:rsid w:val="007C613F"/>
    <w:rsid w:val="007C7255"/>
    <w:rsid w:val="007D0020"/>
    <w:rsid w:val="007D2CE5"/>
    <w:rsid w:val="007E5701"/>
    <w:rsid w:val="007E79F3"/>
    <w:rsid w:val="007F392B"/>
    <w:rsid w:val="007F6233"/>
    <w:rsid w:val="00801542"/>
    <w:rsid w:val="00803C72"/>
    <w:rsid w:val="008103F2"/>
    <w:rsid w:val="00811700"/>
    <w:rsid w:val="00815273"/>
    <w:rsid w:val="00815B8A"/>
    <w:rsid w:val="00817801"/>
    <w:rsid w:val="008214B1"/>
    <w:rsid w:val="00822D5F"/>
    <w:rsid w:val="00842A83"/>
    <w:rsid w:val="0084444D"/>
    <w:rsid w:val="00845E61"/>
    <w:rsid w:val="00850679"/>
    <w:rsid w:val="00851326"/>
    <w:rsid w:val="0085287F"/>
    <w:rsid w:val="00856749"/>
    <w:rsid w:val="00860B97"/>
    <w:rsid w:val="00862774"/>
    <w:rsid w:val="00875E4E"/>
    <w:rsid w:val="00875FB0"/>
    <w:rsid w:val="00880C17"/>
    <w:rsid w:val="00881741"/>
    <w:rsid w:val="0088365C"/>
    <w:rsid w:val="00885BEF"/>
    <w:rsid w:val="00897D4B"/>
    <w:rsid w:val="008A1EE9"/>
    <w:rsid w:val="008A48CF"/>
    <w:rsid w:val="008A63DC"/>
    <w:rsid w:val="008A664C"/>
    <w:rsid w:val="008A664D"/>
    <w:rsid w:val="008B2AC6"/>
    <w:rsid w:val="008B3BFD"/>
    <w:rsid w:val="008C4DB2"/>
    <w:rsid w:val="008C5D84"/>
    <w:rsid w:val="008D0378"/>
    <w:rsid w:val="008D2A35"/>
    <w:rsid w:val="008E2E44"/>
    <w:rsid w:val="008E3A68"/>
    <w:rsid w:val="008E3EE6"/>
    <w:rsid w:val="008E656E"/>
    <w:rsid w:val="008E78A3"/>
    <w:rsid w:val="008F0DAC"/>
    <w:rsid w:val="008F2DF2"/>
    <w:rsid w:val="008F504C"/>
    <w:rsid w:val="00903458"/>
    <w:rsid w:val="0091016A"/>
    <w:rsid w:val="0091399D"/>
    <w:rsid w:val="009179EA"/>
    <w:rsid w:val="00920D56"/>
    <w:rsid w:val="00923D39"/>
    <w:rsid w:val="009240FA"/>
    <w:rsid w:val="0093607A"/>
    <w:rsid w:val="0093637C"/>
    <w:rsid w:val="00936A47"/>
    <w:rsid w:val="00937358"/>
    <w:rsid w:val="0094655F"/>
    <w:rsid w:val="00950545"/>
    <w:rsid w:val="00956BEC"/>
    <w:rsid w:val="00963192"/>
    <w:rsid w:val="0096477C"/>
    <w:rsid w:val="00971103"/>
    <w:rsid w:val="00974873"/>
    <w:rsid w:val="00981C7D"/>
    <w:rsid w:val="0098227A"/>
    <w:rsid w:val="00983A3B"/>
    <w:rsid w:val="00985C8C"/>
    <w:rsid w:val="0099610C"/>
    <w:rsid w:val="009A0AEE"/>
    <w:rsid w:val="009A2B94"/>
    <w:rsid w:val="009B02EE"/>
    <w:rsid w:val="009C75E7"/>
    <w:rsid w:val="009C7806"/>
    <w:rsid w:val="009D69E5"/>
    <w:rsid w:val="009E1F26"/>
    <w:rsid w:val="009E200B"/>
    <w:rsid w:val="009E2DC5"/>
    <w:rsid w:val="009E63E7"/>
    <w:rsid w:val="009F24E3"/>
    <w:rsid w:val="00A054E1"/>
    <w:rsid w:val="00A06610"/>
    <w:rsid w:val="00A06B0F"/>
    <w:rsid w:val="00A07975"/>
    <w:rsid w:val="00A1075B"/>
    <w:rsid w:val="00A15901"/>
    <w:rsid w:val="00A15FF8"/>
    <w:rsid w:val="00A16F8B"/>
    <w:rsid w:val="00A20A3D"/>
    <w:rsid w:val="00A26E1A"/>
    <w:rsid w:val="00A359F6"/>
    <w:rsid w:val="00A4537B"/>
    <w:rsid w:val="00A47435"/>
    <w:rsid w:val="00A51F39"/>
    <w:rsid w:val="00A5374B"/>
    <w:rsid w:val="00A56ECC"/>
    <w:rsid w:val="00A5708B"/>
    <w:rsid w:val="00A62F1A"/>
    <w:rsid w:val="00A705CD"/>
    <w:rsid w:val="00A7381A"/>
    <w:rsid w:val="00A816F7"/>
    <w:rsid w:val="00A83B1F"/>
    <w:rsid w:val="00A86144"/>
    <w:rsid w:val="00A86AA3"/>
    <w:rsid w:val="00A92332"/>
    <w:rsid w:val="00A946B9"/>
    <w:rsid w:val="00A95496"/>
    <w:rsid w:val="00A959CC"/>
    <w:rsid w:val="00AA1106"/>
    <w:rsid w:val="00AB01F3"/>
    <w:rsid w:val="00AB0734"/>
    <w:rsid w:val="00AB0776"/>
    <w:rsid w:val="00AB07D2"/>
    <w:rsid w:val="00AB2884"/>
    <w:rsid w:val="00AC06AE"/>
    <w:rsid w:val="00AC4FA6"/>
    <w:rsid w:val="00AC6509"/>
    <w:rsid w:val="00AC7BA1"/>
    <w:rsid w:val="00AD7677"/>
    <w:rsid w:val="00AE0D0B"/>
    <w:rsid w:val="00AE18A4"/>
    <w:rsid w:val="00AE2496"/>
    <w:rsid w:val="00AE2C3E"/>
    <w:rsid w:val="00AF26E9"/>
    <w:rsid w:val="00AF3479"/>
    <w:rsid w:val="00AF7238"/>
    <w:rsid w:val="00B0219C"/>
    <w:rsid w:val="00B02990"/>
    <w:rsid w:val="00B03796"/>
    <w:rsid w:val="00B06D88"/>
    <w:rsid w:val="00B106C7"/>
    <w:rsid w:val="00B1475D"/>
    <w:rsid w:val="00B151F5"/>
    <w:rsid w:val="00B22838"/>
    <w:rsid w:val="00B24F1F"/>
    <w:rsid w:val="00B25CEF"/>
    <w:rsid w:val="00B40528"/>
    <w:rsid w:val="00B4553B"/>
    <w:rsid w:val="00B45C99"/>
    <w:rsid w:val="00B4618E"/>
    <w:rsid w:val="00B46CD8"/>
    <w:rsid w:val="00B508E4"/>
    <w:rsid w:val="00B51AC2"/>
    <w:rsid w:val="00B561CC"/>
    <w:rsid w:val="00B61E5E"/>
    <w:rsid w:val="00B65FF6"/>
    <w:rsid w:val="00B66E33"/>
    <w:rsid w:val="00B70087"/>
    <w:rsid w:val="00B70507"/>
    <w:rsid w:val="00B71B5D"/>
    <w:rsid w:val="00B7232B"/>
    <w:rsid w:val="00B72399"/>
    <w:rsid w:val="00B73882"/>
    <w:rsid w:val="00B742B3"/>
    <w:rsid w:val="00B76715"/>
    <w:rsid w:val="00B777E2"/>
    <w:rsid w:val="00B84546"/>
    <w:rsid w:val="00B845AE"/>
    <w:rsid w:val="00B84B03"/>
    <w:rsid w:val="00B872F8"/>
    <w:rsid w:val="00B9136A"/>
    <w:rsid w:val="00B93AEC"/>
    <w:rsid w:val="00B96F30"/>
    <w:rsid w:val="00B975A4"/>
    <w:rsid w:val="00BA51E5"/>
    <w:rsid w:val="00BA7CAC"/>
    <w:rsid w:val="00BC28E4"/>
    <w:rsid w:val="00BC2BE0"/>
    <w:rsid w:val="00BC67DA"/>
    <w:rsid w:val="00BD6DC6"/>
    <w:rsid w:val="00BE3EF5"/>
    <w:rsid w:val="00BE7A27"/>
    <w:rsid w:val="00BF56C5"/>
    <w:rsid w:val="00C03465"/>
    <w:rsid w:val="00C0432D"/>
    <w:rsid w:val="00C10F3D"/>
    <w:rsid w:val="00C21613"/>
    <w:rsid w:val="00C21921"/>
    <w:rsid w:val="00C241F8"/>
    <w:rsid w:val="00C25E45"/>
    <w:rsid w:val="00C31A73"/>
    <w:rsid w:val="00C32ACD"/>
    <w:rsid w:val="00C32E8E"/>
    <w:rsid w:val="00C4263C"/>
    <w:rsid w:val="00C43619"/>
    <w:rsid w:val="00C4424B"/>
    <w:rsid w:val="00C4688B"/>
    <w:rsid w:val="00C55A8D"/>
    <w:rsid w:val="00C568C1"/>
    <w:rsid w:val="00C61248"/>
    <w:rsid w:val="00C6303E"/>
    <w:rsid w:val="00C64795"/>
    <w:rsid w:val="00C64B67"/>
    <w:rsid w:val="00C66319"/>
    <w:rsid w:val="00C6658C"/>
    <w:rsid w:val="00C70B4C"/>
    <w:rsid w:val="00C732C6"/>
    <w:rsid w:val="00C8194E"/>
    <w:rsid w:val="00C82857"/>
    <w:rsid w:val="00C842C1"/>
    <w:rsid w:val="00C8431B"/>
    <w:rsid w:val="00C863EC"/>
    <w:rsid w:val="00C919CE"/>
    <w:rsid w:val="00C92F61"/>
    <w:rsid w:val="00CA36B0"/>
    <w:rsid w:val="00CB2E9F"/>
    <w:rsid w:val="00CB6492"/>
    <w:rsid w:val="00CC1E89"/>
    <w:rsid w:val="00CC41CC"/>
    <w:rsid w:val="00CC7669"/>
    <w:rsid w:val="00CD0350"/>
    <w:rsid w:val="00CD234C"/>
    <w:rsid w:val="00CD7EC0"/>
    <w:rsid w:val="00CE7532"/>
    <w:rsid w:val="00CF2E33"/>
    <w:rsid w:val="00CF532D"/>
    <w:rsid w:val="00CF7414"/>
    <w:rsid w:val="00CF7CA9"/>
    <w:rsid w:val="00D0095B"/>
    <w:rsid w:val="00D03237"/>
    <w:rsid w:val="00D03EF8"/>
    <w:rsid w:val="00D03FEF"/>
    <w:rsid w:val="00D05539"/>
    <w:rsid w:val="00D0591D"/>
    <w:rsid w:val="00D11F63"/>
    <w:rsid w:val="00D169C5"/>
    <w:rsid w:val="00D23E80"/>
    <w:rsid w:val="00D35F08"/>
    <w:rsid w:val="00D36F6C"/>
    <w:rsid w:val="00D44A50"/>
    <w:rsid w:val="00D471B6"/>
    <w:rsid w:val="00D52CB1"/>
    <w:rsid w:val="00D53F63"/>
    <w:rsid w:val="00D54432"/>
    <w:rsid w:val="00D54CFD"/>
    <w:rsid w:val="00D60693"/>
    <w:rsid w:val="00D61A6F"/>
    <w:rsid w:val="00D63167"/>
    <w:rsid w:val="00D64341"/>
    <w:rsid w:val="00D64ABE"/>
    <w:rsid w:val="00D76856"/>
    <w:rsid w:val="00D8471F"/>
    <w:rsid w:val="00D854DF"/>
    <w:rsid w:val="00D91A2A"/>
    <w:rsid w:val="00D929A4"/>
    <w:rsid w:val="00D95F22"/>
    <w:rsid w:val="00D96C35"/>
    <w:rsid w:val="00DB0820"/>
    <w:rsid w:val="00DB7A37"/>
    <w:rsid w:val="00DC072E"/>
    <w:rsid w:val="00DC4AF3"/>
    <w:rsid w:val="00DD2A15"/>
    <w:rsid w:val="00DD385D"/>
    <w:rsid w:val="00DD5A1E"/>
    <w:rsid w:val="00DD7219"/>
    <w:rsid w:val="00DE07FF"/>
    <w:rsid w:val="00DE0A19"/>
    <w:rsid w:val="00DE415A"/>
    <w:rsid w:val="00DF6631"/>
    <w:rsid w:val="00E004A2"/>
    <w:rsid w:val="00E077DD"/>
    <w:rsid w:val="00E128B2"/>
    <w:rsid w:val="00E13EB4"/>
    <w:rsid w:val="00E14C03"/>
    <w:rsid w:val="00E15D39"/>
    <w:rsid w:val="00E209D2"/>
    <w:rsid w:val="00E20F1E"/>
    <w:rsid w:val="00E23126"/>
    <w:rsid w:val="00E27671"/>
    <w:rsid w:val="00E27BB7"/>
    <w:rsid w:val="00E30119"/>
    <w:rsid w:val="00E35011"/>
    <w:rsid w:val="00E36B26"/>
    <w:rsid w:val="00E36DA3"/>
    <w:rsid w:val="00E37913"/>
    <w:rsid w:val="00E43702"/>
    <w:rsid w:val="00E47476"/>
    <w:rsid w:val="00E5257F"/>
    <w:rsid w:val="00E55479"/>
    <w:rsid w:val="00E55677"/>
    <w:rsid w:val="00E56CA6"/>
    <w:rsid w:val="00E708EC"/>
    <w:rsid w:val="00E729D4"/>
    <w:rsid w:val="00E72E90"/>
    <w:rsid w:val="00E74118"/>
    <w:rsid w:val="00E746C5"/>
    <w:rsid w:val="00E76ADA"/>
    <w:rsid w:val="00E77636"/>
    <w:rsid w:val="00E92D48"/>
    <w:rsid w:val="00E93952"/>
    <w:rsid w:val="00E97932"/>
    <w:rsid w:val="00EA134E"/>
    <w:rsid w:val="00EA417B"/>
    <w:rsid w:val="00EA4379"/>
    <w:rsid w:val="00EA61A6"/>
    <w:rsid w:val="00EA664F"/>
    <w:rsid w:val="00EB0E3B"/>
    <w:rsid w:val="00EB10E9"/>
    <w:rsid w:val="00EB521E"/>
    <w:rsid w:val="00EB7D1B"/>
    <w:rsid w:val="00EC424B"/>
    <w:rsid w:val="00EC633A"/>
    <w:rsid w:val="00ED56C1"/>
    <w:rsid w:val="00EE01EF"/>
    <w:rsid w:val="00EE0D06"/>
    <w:rsid w:val="00EE59E0"/>
    <w:rsid w:val="00EE76BC"/>
    <w:rsid w:val="00EF54DB"/>
    <w:rsid w:val="00F01073"/>
    <w:rsid w:val="00F05142"/>
    <w:rsid w:val="00F1032D"/>
    <w:rsid w:val="00F11408"/>
    <w:rsid w:val="00F1744C"/>
    <w:rsid w:val="00F175BB"/>
    <w:rsid w:val="00F266EB"/>
    <w:rsid w:val="00F327E1"/>
    <w:rsid w:val="00F35FD3"/>
    <w:rsid w:val="00F421B1"/>
    <w:rsid w:val="00F42BF8"/>
    <w:rsid w:val="00F431CF"/>
    <w:rsid w:val="00F46B83"/>
    <w:rsid w:val="00F505E7"/>
    <w:rsid w:val="00F52DFF"/>
    <w:rsid w:val="00F53C83"/>
    <w:rsid w:val="00F55379"/>
    <w:rsid w:val="00F5598E"/>
    <w:rsid w:val="00F612BF"/>
    <w:rsid w:val="00F646B1"/>
    <w:rsid w:val="00F755EF"/>
    <w:rsid w:val="00F76444"/>
    <w:rsid w:val="00F7689D"/>
    <w:rsid w:val="00F76968"/>
    <w:rsid w:val="00F76B1A"/>
    <w:rsid w:val="00F7742E"/>
    <w:rsid w:val="00F77A04"/>
    <w:rsid w:val="00F826C5"/>
    <w:rsid w:val="00F84D0F"/>
    <w:rsid w:val="00F914AC"/>
    <w:rsid w:val="00F94974"/>
    <w:rsid w:val="00FA20E1"/>
    <w:rsid w:val="00FA6DB9"/>
    <w:rsid w:val="00FB73DE"/>
    <w:rsid w:val="00FC0277"/>
    <w:rsid w:val="00FC45ED"/>
    <w:rsid w:val="00FC49AB"/>
    <w:rsid w:val="00FC7125"/>
    <w:rsid w:val="00FD07B8"/>
    <w:rsid w:val="00FD1F15"/>
    <w:rsid w:val="00FD316E"/>
    <w:rsid w:val="00FD5D8B"/>
    <w:rsid w:val="00FD7E3F"/>
    <w:rsid w:val="00FE0A96"/>
    <w:rsid w:val="00FE1059"/>
    <w:rsid w:val="00FE40EE"/>
    <w:rsid w:val="00FE42B9"/>
    <w:rsid w:val="00FF2B00"/>
    <w:rsid w:val="00FF58ED"/>
    <w:rsid w:val="00FF6320"/>
    <w:rsid w:val="01CA3F1A"/>
    <w:rsid w:val="02645800"/>
    <w:rsid w:val="02C879CE"/>
    <w:rsid w:val="02E903CF"/>
    <w:rsid w:val="03A22211"/>
    <w:rsid w:val="047212BB"/>
    <w:rsid w:val="048D195A"/>
    <w:rsid w:val="04B64F6B"/>
    <w:rsid w:val="04D93C03"/>
    <w:rsid w:val="05FF2BF1"/>
    <w:rsid w:val="060774EA"/>
    <w:rsid w:val="063A6147"/>
    <w:rsid w:val="064E5119"/>
    <w:rsid w:val="079923C4"/>
    <w:rsid w:val="07A76D10"/>
    <w:rsid w:val="07C65C89"/>
    <w:rsid w:val="09494B1C"/>
    <w:rsid w:val="09931095"/>
    <w:rsid w:val="09941C34"/>
    <w:rsid w:val="0A626821"/>
    <w:rsid w:val="0BE80BA0"/>
    <w:rsid w:val="0C756C7F"/>
    <w:rsid w:val="0D257CA1"/>
    <w:rsid w:val="0D5E03AD"/>
    <w:rsid w:val="0E2D3866"/>
    <w:rsid w:val="0E2E1605"/>
    <w:rsid w:val="0EB3626A"/>
    <w:rsid w:val="0F224775"/>
    <w:rsid w:val="0F452E31"/>
    <w:rsid w:val="0F7D6A6F"/>
    <w:rsid w:val="0F7E3B18"/>
    <w:rsid w:val="1044187D"/>
    <w:rsid w:val="110457F6"/>
    <w:rsid w:val="11BB73DB"/>
    <w:rsid w:val="12F15EC8"/>
    <w:rsid w:val="133D279D"/>
    <w:rsid w:val="169F1079"/>
    <w:rsid w:val="16FC471D"/>
    <w:rsid w:val="173A4AD6"/>
    <w:rsid w:val="1752258F"/>
    <w:rsid w:val="175D3FA4"/>
    <w:rsid w:val="17AA4179"/>
    <w:rsid w:val="18E831AB"/>
    <w:rsid w:val="19E219A9"/>
    <w:rsid w:val="1ACE4623"/>
    <w:rsid w:val="1B9C202B"/>
    <w:rsid w:val="1C9179DF"/>
    <w:rsid w:val="1EBB4EBE"/>
    <w:rsid w:val="1ED40E34"/>
    <w:rsid w:val="21752892"/>
    <w:rsid w:val="21FB287E"/>
    <w:rsid w:val="22244B28"/>
    <w:rsid w:val="22456F79"/>
    <w:rsid w:val="226C6465"/>
    <w:rsid w:val="22DD18A7"/>
    <w:rsid w:val="22EB3FC4"/>
    <w:rsid w:val="238E0DF3"/>
    <w:rsid w:val="24DE36B4"/>
    <w:rsid w:val="25312104"/>
    <w:rsid w:val="253A0554"/>
    <w:rsid w:val="25CE377A"/>
    <w:rsid w:val="263537A8"/>
    <w:rsid w:val="26DC3417"/>
    <w:rsid w:val="26E825C8"/>
    <w:rsid w:val="26F471BF"/>
    <w:rsid w:val="278C73F8"/>
    <w:rsid w:val="28C675E4"/>
    <w:rsid w:val="28F32C37"/>
    <w:rsid w:val="29BD7D3C"/>
    <w:rsid w:val="2A1738F0"/>
    <w:rsid w:val="2AA42CF6"/>
    <w:rsid w:val="2AD74E2E"/>
    <w:rsid w:val="2B637C36"/>
    <w:rsid w:val="2B944ACD"/>
    <w:rsid w:val="2BB73C88"/>
    <w:rsid w:val="2CA46F92"/>
    <w:rsid w:val="2D934D7B"/>
    <w:rsid w:val="2E3F6F72"/>
    <w:rsid w:val="2E9848D4"/>
    <w:rsid w:val="2E9A064C"/>
    <w:rsid w:val="2F414F6C"/>
    <w:rsid w:val="3011478F"/>
    <w:rsid w:val="307962BA"/>
    <w:rsid w:val="311D7312"/>
    <w:rsid w:val="322C3C5F"/>
    <w:rsid w:val="32625925"/>
    <w:rsid w:val="344F3C87"/>
    <w:rsid w:val="34EB1C02"/>
    <w:rsid w:val="35A42DB6"/>
    <w:rsid w:val="36321AB2"/>
    <w:rsid w:val="365D08DD"/>
    <w:rsid w:val="36987B67"/>
    <w:rsid w:val="373C4996"/>
    <w:rsid w:val="38877E93"/>
    <w:rsid w:val="3AC058DE"/>
    <w:rsid w:val="3B1633DA"/>
    <w:rsid w:val="3B8B66D9"/>
    <w:rsid w:val="3BDD601C"/>
    <w:rsid w:val="3DCE3E6E"/>
    <w:rsid w:val="3EF46CAA"/>
    <w:rsid w:val="3F7E3672"/>
    <w:rsid w:val="40A92971"/>
    <w:rsid w:val="41284902"/>
    <w:rsid w:val="42157EBB"/>
    <w:rsid w:val="43770BB6"/>
    <w:rsid w:val="474E6020"/>
    <w:rsid w:val="47DE55F6"/>
    <w:rsid w:val="487F0B87"/>
    <w:rsid w:val="48EE3617"/>
    <w:rsid w:val="4A3414FD"/>
    <w:rsid w:val="4AE66C9B"/>
    <w:rsid w:val="4B1B446B"/>
    <w:rsid w:val="4C013709"/>
    <w:rsid w:val="4C516396"/>
    <w:rsid w:val="4CB9537B"/>
    <w:rsid w:val="4CC748AA"/>
    <w:rsid w:val="4D192328"/>
    <w:rsid w:val="4D5A38BF"/>
    <w:rsid w:val="4DBD12C0"/>
    <w:rsid w:val="4E394AF5"/>
    <w:rsid w:val="4ED80FF1"/>
    <w:rsid w:val="50082E62"/>
    <w:rsid w:val="503009B9"/>
    <w:rsid w:val="506A3ECB"/>
    <w:rsid w:val="51AB744D"/>
    <w:rsid w:val="52245E70"/>
    <w:rsid w:val="5281374D"/>
    <w:rsid w:val="529428C6"/>
    <w:rsid w:val="52E853D9"/>
    <w:rsid w:val="54C31DFB"/>
    <w:rsid w:val="5503669C"/>
    <w:rsid w:val="552705DC"/>
    <w:rsid w:val="55883C06"/>
    <w:rsid w:val="55A421E5"/>
    <w:rsid w:val="55AF412E"/>
    <w:rsid w:val="56051FA0"/>
    <w:rsid w:val="56E85E5D"/>
    <w:rsid w:val="56EA592E"/>
    <w:rsid w:val="57E97DCB"/>
    <w:rsid w:val="59E7658C"/>
    <w:rsid w:val="5B1944EE"/>
    <w:rsid w:val="5C9B365E"/>
    <w:rsid w:val="5D243653"/>
    <w:rsid w:val="5E774189"/>
    <w:rsid w:val="5E8C0C1C"/>
    <w:rsid w:val="5ECB6033"/>
    <w:rsid w:val="5EDD2C6A"/>
    <w:rsid w:val="5F0A0C5E"/>
    <w:rsid w:val="5F116FAE"/>
    <w:rsid w:val="616B7AA3"/>
    <w:rsid w:val="620A1C4E"/>
    <w:rsid w:val="623F4D3A"/>
    <w:rsid w:val="625A56D6"/>
    <w:rsid w:val="639D6D79"/>
    <w:rsid w:val="654E3963"/>
    <w:rsid w:val="65532D27"/>
    <w:rsid w:val="676A25AA"/>
    <w:rsid w:val="67A07D7A"/>
    <w:rsid w:val="68E4494A"/>
    <w:rsid w:val="6946402E"/>
    <w:rsid w:val="69E54E81"/>
    <w:rsid w:val="6A010FA4"/>
    <w:rsid w:val="6A566448"/>
    <w:rsid w:val="6B7D6218"/>
    <w:rsid w:val="6C375151"/>
    <w:rsid w:val="6CD97FB6"/>
    <w:rsid w:val="6DCD73EF"/>
    <w:rsid w:val="6EC86534"/>
    <w:rsid w:val="6FE129A4"/>
    <w:rsid w:val="70C64CF5"/>
    <w:rsid w:val="7157594D"/>
    <w:rsid w:val="7298621E"/>
    <w:rsid w:val="72B8241C"/>
    <w:rsid w:val="731D4975"/>
    <w:rsid w:val="73EB6821"/>
    <w:rsid w:val="74283E4A"/>
    <w:rsid w:val="74687E72"/>
    <w:rsid w:val="76186318"/>
    <w:rsid w:val="76D72B7E"/>
    <w:rsid w:val="77317199"/>
    <w:rsid w:val="77364257"/>
    <w:rsid w:val="7875343E"/>
    <w:rsid w:val="78F61EF0"/>
    <w:rsid w:val="79222CE5"/>
    <w:rsid w:val="7A8A7FCC"/>
    <w:rsid w:val="7ADA3941"/>
    <w:rsid w:val="7BAC4AE8"/>
    <w:rsid w:val="7BB5399C"/>
    <w:rsid w:val="7C182558"/>
    <w:rsid w:val="7D787377"/>
    <w:rsid w:val="7D846AA4"/>
    <w:rsid w:val="7DEC7BB9"/>
    <w:rsid w:val="7E8313BD"/>
    <w:rsid w:val="7EF053B2"/>
    <w:rsid w:val="7F4C0ABC"/>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qFormat="1" w:uiPriority="99" w:semiHidden="0"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link w:val="35"/>
    <w:qFormat/>
    <w:uiPriority w:val="0"/>
    <w:pPr>
      <w:keepNext/>
      <w:keepLines/>
      <w:numPr>
        <w:ilvl w:val="0"/>
        <w:numId w:val="1"/>
      </w:numPr>
      <w:pBdr>
        <w:top w:val="single" w:color="FFFFFF" w:sz="48" w:space="3"/>
        <w:left w:val="single" w:color="FFFFFF" w:sz="6" w:space="3"/>
        <w:bottom w:val="single" w:color="FFFFFF" w:sz="6" w:space="3"/>
      </w:pBdr>
      <w:spacing w:before="120" w:after="120" w:line="240" w:lineRule="atLeast"/>
      <w:outlineLvl w:val="0"/>
    </w:pPr>
    <w:rPr>
      <w:rFonts w:ascii="Arial Black" w:hAnsi="Arial Black" w:eastAsia="黑体" w:cs="Times New Roman"/>
      <w:b/>
      <w:smallCaps/>
      <w:spacing w:val="-5"/>
      <w:kern w:val="20"/>
      <w:sz w:val="36"/>
      <w:szCs w:val="20"/>
      <w:lang w:eastAsia="en-US"/>
    </w:rPr>
  </w:style>
  <w:style w:type="paragraph" w:styleId="4">
    <w:name w:val="heading 2"/>
    <w:basedOn w:val="1"/>
    <w:next w:val="1"/>
    <w:link w:val="36"/>
    <w:qFormat/>
    <w:uiPriority w:val="0"/>
    <w:pPr>
      <w:keepNext/>
      <w:keepLines/>
      <w:numPr>
        <w:ilvl w:val="1"/>
        <w:numId w:val="1"/>
      </w:numPr>
      <w:tabs>
        <w:tab w:val="left" w:pos="432"/>
        <w:tab w:val="left" w:pos="840"/>
        <w:tab w:val="right" w:pos="9000"/>
        <w:tab w:val="clear" w:pos="859"/>
      </w:tabs>
      <w:spacing w:before="120" w:after="120" w:line="240" w:lineRule="atLeast"/>
      <w:outlineLvl w:val="1"/>
    </w:pPr>
    <w:rPr>
      <w:rFonts w:ascii="Arial" w:hAnsi="Arial" w:cs="Times New Roman"/>
      <w:b/>
      <w:bCs/>
      <w:kern w:val="28"/>
      <w:sz w:val="32"/>
      <w:lang w:eastAsia="en-US"/>
    </w:rPr>
  </w:style>
  <w:style w:type="paragraph" w:styleId="5">
    <w:name w:val="heading 3"/>
    <w:basedOn w:val="1"/>
    <w:next w:val="1"/>
    <w:link w:val="37"/>
    <w:qFormat/>
    <w:uiPriority w:val="0"/>
    <w:pPr>
      <w:keepNext/>
      <w:keepLines/>
      <w:numPr>
        <w:ilvl w:val="2"/>
        <w:numId w:val="1"/>
      </w:numPr>
      <w:tabs>
        <w:tab w:val="left" w:pos="432"/>
      </w:tabs>
      <w:spacing w:before="120" w:after="120" w:line="240" w:lineRule="atLeast"/>
      <w:outlineLvl w:val="2"/>
    </w:pPr>
    <w:rPr>
      <w:rFonts w:ascii="仿宋" w:hAnsi="仿宋" w:eastAsia="仿宋" w:cs="仿宋"/>
      <w:b/>
      <w:bCs/>
      <w:color w:val="000000" w:themeColor="text1"/>
      <w:spacing w:val="-10"/>
      <w:kern w:val="28"/>
      <w:sz w:val="28"/>
      <w:szCs w:val="28"/>
      <w14:textFill>
        <w14:solidFill>
          <w14:schemeClr w14:val="tx1"/>
        </w14:solidFill>
      </w14:textFill>
    </w:rPr>
  </w:style>
  <w:style w:type="paragraph" w:styleId="6">
    <w:name w:val="heading 4"/>
    <w:basedOn w:val="1"/>
    <w:next w:val="1"/>
    <w:link w:val="38"/>
    <w:qFormat/>
    <w:uiPriority w:val="0"/>
    <w:pPr>
      <w:keepNext/>
      <w:keepLines/>
      <w:numPr>
        <w:ilvl w:val="3"/>
        <w:numId w:val="1"/>
      </w:numPr>
      <w:tabs>
        <w:tab w:val="left" w:pos="432"/>
        <w:tab w:val="left" w:pos="1800"/>
        <w:tab w:val="right" w:pos="9000"/>
      </w:tabs>
      <w:spacing w:before="120" w:after="120" w:line="240" w:lineRule="atLeast"/>
      <w:outlineLvl w:val="3"/>
    </w:pPr>
    <w:rPr>
      <w:rFonts w:ascii="Arial" w:hAnsi="Arial" w:cs="Times New Roman"/>
      <w:b/>
      <w:bCs/>
      <w:spacing w:val="-4"/>
      <w:kern w:val="28"/>
      <w:szCs w:val="20"/>
      <w:lang w:eastAsia="en-US"/>
    </w:rPr>
  </w:style>
  <w:style w:type="paragraph" w:styleId="7">
    <w:name w:val="heading 5"/>
    <w:basedOn w:val="1"/>
    <w:next w:val="1"/>
    <w:link w:val="39"/>
    <w:qFormat/>
    <w:uiPriority w:val="0"/>
    <w:pPr>
      <w:keepNext/>
      <w:keepLines/>
      <w:numPr>
        <w:ilvl w:val="4"/>
        <w:numId w:val="1"/>
      </w:numPr>
      <w:tabs>
        <w:tab w:val="left" w:pos="432"/>
      </w:tabs>
      <w:spacing w:line="240" w:lineRule="atLeast"/>
      <w:outlineLvl w:val="4"/>
    </w:pPr>
    <w:rPr>
      <w:rFonts w:ascii="Arial" w:hAnsi="Arial" w:cs="Times New Roman"/>
      <w:spacing w:val="-4"/>
      <w:kern w:val="28"/>
      <w:szCs w:val="20"/>
      <w:lang w:eastAsia="en-US"/>
    </w:rPr>
  </w:style>
  <w:style w:type="paragraph" w:styleId="8">
    <w:name w:val="heading 6"/>
    <w:basedOn w:val="1"/>
    <w:next w:val="1"/>
    <w:link w:val="40"/>
    <w:qFormat/>
    <w:uiPriority w:val="9"/>
    <w:pPr>
      <w:keepNext/>
      <w:keepLines/>
      <w:numPr>
        <w:ilvl w:val="5"/>
        <w:numId w:val="1"/>
      </w:numPr>
      <w:tabs>
        <w:tab w:val="left" w:pos="432"/>
      </w:tabs>
      <w:spacing w:before="140" w:line="220" w:lineRule="atLeast"/>
      <w:outlineLvl w:val="5"/>
    </w:pPr>
    <w:rPr>
      <w:rFonts w:ascii="Arial" w:hAnsi="Arial" w:cs="Times New Roman"/>
      <w:i/>
      <w:spacing w:val="-4"/>
      <w:kern w:val="28"/>
      <w:szCs w:val="20"/>
      <w:lang w:eastAsia="en-US"/>
    </w:rPr>
  </w:style>
  <w:style w:type="paragraph" w:styleId="9">
    <w:name w:val="heading 7"/>
    <w:basedOn w:val="1"/>
    <w:next w:val="1"/>
    <w:link w:val="41"/>
    <w:qFormat/>
    <w:uiPriority w:val="9"/>
    <w:pPr>
      <w:keepNext/>
      <w:keepLines/>
      <w:numPr>
        <w:ilvl w:val="6"/>
        <w:numId w:val="1"/>
      </w:numPr>
      <w:tabs>
        <w:tab w:val="left" w:pos="432"/>
      </w:tabs>
      <w:spacing w:before="140" w:line="220" w:lineRule="atLeast"/>
      <w:outlineLvl w:val="6"/>
    </w:pPr>
    <w:rPr>
      <w:rFonts w:ascii="Arial" w:hAnsi="Arial" w:cs="Times New Roman"/>
      <w:spacing w:val="-4"/>
      <w:kern w:val="28"/>
      <w:szCs w:val="20"/>
      <w:lang w:eastAsia="en-US"/>
    </w:rPr>
  </w:style>
  <w:style w:type="paragraph" w:styleId="10">
    <w:name w:val="heading 8"/>
    <w:basedOn w:val="1"/>
    <w:next w:val="1"/>
    <w:link w:val="42"/>
    <w:qFormat/>
    <w:uiPriority w:val="9"/>
    <w:pPr>
      <w:keepNext/>
      <w:keepLines/>
      <w:numPr>
        <w:ilvl w:val="7"/>
        <w:numId w:val="1"/>
      </w:numPr>
      <w:tabs>
        <w:tab w:val="left" w:pos="432"/>
      </w:tabs>
      <w:spacing w:before="140" w:line="220" w:lineRule="atLeast"/>
      <w:outlineLvl w:val="7"/>
    </w:pPr>
    <w:rPr>
      <w:rFonts w:ascii="Arial" w:hAnsi="Arial" w:cs="Times New Roman"/>
      <w:i/>
      <w:spacing w:val="-4"/>
      <w:kern w:val="28"/>
      <w:sz w:val="18"/>
      <w:szCs w:val="20"/>
      <w:lang w:eastAsia="en-US"/>
    </w:rPr>
  </w:style>
  <w:style w:type="paragraph" w:styleId="11">
    <w:name w:val="heading 9"/>
    <w:basedOn w:val="1"/>
    <w:next w:val="1"/>
    <w:link w:val="43"/>
    <w:qFormat/>
    <w:uiPriority w:val="9"/>
    <w:pPr>
      <w:keepNext/>
      <w:keepLines/>
      <w:numPr>
        <w:ilvl w:val="8"/>
        <w:numId w:val="1"/>
      </w:numPr>
      <w:tabs>
        <w:tab w:val="left" w:pos="432"/>
      </w:tabs>
      <w:spacing w:before="140" w:line="220" w:lineRule="atLeast"/>
      <w:outlineLvl w:val="8"/>
    </w:pPr>
    <w:rPr>
      <w:rFonts w:ascii="Arial" w:hAnsi="Arial" w:cs="Times New Roman"/>
      <w:spacing w:val="-4"/>
      <w:kern w:val="28"/>
      <w:sz w:val="18"/>
      <w:szCs w:val="20"/>
      <w:lang w:eastAsia="en-US"/>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rFonts w:cs="Times New Roman"/>
      <w:lang w:val="zh-CN"/>
    </w:rPr>
  </w:style>
  <w:style w:type="paragraph" w:styleId="12">
    <w:name w:val="caption"/>
    <w:basedOn w:val="1"/>
    <w:next w:val="1"/>
    <w:link w:val="50"/>
    <w:unhideWhenUsed/>
    <w:qFormat/>
    <w:uiPriority w:val="0"/>
    <w:pPr>
      <w:widowControl w:val="0"/>
      <w:jc w:val="both"/>
    </w:pPr>
    <w:rPr>
      <w:rFonts w:eastAsia="黑体" w:asciiTheme="majorHAnsi" w:hAnsiTheme="majorHAnsi" w:cstheme="majorBidi"/>
      <w:kern w:val="2"/>
      <w:sz w:val="20"/>
      <w:szCs w:val="20"/>
    </w:rPr>
  </w:style>
  <w:style w:type="paragraph" w:styleId="13">
    <w:name w:val="toc 3"/>
    <w:basedOn w:val="1"/>
    <w:next w:val="1"/>
    <w:unhideWhenUsed/>
    <w:qFormat/>
    <w:uiPriority w:val="39"/>
    <w:pPr>
      <w:widowControl w:val="0"/>
      <w:ind w:left="840" w:leftChars="400"/>
      <w:jc w:val="both"/>
    </w:pPr>
    <w:rPr>
      <w:rFonts w:asciiTheme="minorHAnsi" w:hAnsiTheme="minorHAnsi" w:cstheme="minorBidi"/>
      <w:kern w:val="2"/>
      <w:szCs w:val="22"/>
    </w:rPr>
  </w:style>
  <w:style w:type="paragraph" w:styleId="14">
    <w:name w:val="endnote text"/>
    <w:basedOn w:val="1"/>
    <w:link w:val="70"/>
    <w:unhideWhenUsed/>
    <w:qFormat/>
    <w:uiPriority w:val="99"/>
    <w:pPr>
      <w:widowControl w:val="0"/>
      <w:snapToGrid w:val="0"/>
    </w:pPr>
    <w:rPr>
      <w:rFonts w:asciiTheme="minorHAnsi" w:hAnsiTheme="minorHAnsi" w:cstheme="minorBidi"/>
      <w:kern w:val="2"/>
      <w:szCs w:val="22"/>
    </w:rPr>
  </w:style>
  <w:style w:type="paragraph" w:styleId="15">
    <w:name w:val="Balloon Text"/>
    <w:basedOn w:val="1"/>
    <w:link w:val="73"/>
    <w:semiHidden/>
    <w:unhideWhenUsed/>
    <w:qFormat/>
    <w:uiPriority w:val="99"/>
    <w:rPr>
      <w:rFonts w:hAnsi="Times New Roman" w:cs="Times New Roman"/>
      <w:sz w:val="18"/>
      <w:szCs w:val="18"/>
    </w:rPr>
  </w:style>
  <w:style w:type="paragraph" w:styleId="16">
    <w:name w:val="footer"/>
    <w:basedOn w:val="1"/>
    <w:link w:val="34"/>
    <w:unhideWhenUsed/>
    <w:qFormat/>
    <w:uiPriority w:val="99"/>
    <w:pPr>
      <w:widowControl w:val="0"/>
      <w:tabs>
        <w:tab w:val="center" w:pos="4153"/>
        <w:tab w:val="right" w:pos="8306"/>
      </w:tabs>
      <w:snapToGrid w:val="0"/>
    </w:pPr>
    <w:rPr>
      <w:rFonts w:asciiTheme="minorHAnsi" w:hAnsiTheme="minorHAnsi" w:cstheme="minorBidi"/>
      <w:kern w:val="2"/>
      <w:sz w:val="18"/>
      <w:szCs w:val="18"/>
    </w:rPr>
  </w:style>
  <w:style w:type="paragraph" w:styleId="17">
    <w:name w:val="header"/>
    <w:basedOn w:val="1"/>
    <w:link w:val="33"/>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cstheme="minorBidi"/>
      <w:kern w:val="2"/>
      <w:sz w:val="18"/>
      <w:szCs w:val="18"/>
    </w:rPr>
  </w:style>
  <w:style w:type="paragraph" w:styleId="18">
    <w:name w:val="toc 1"/>
    <w:basedOn w:val="1"/>
    <w:next w:val="1"/>
    <w:unhideWhenUsed/>
    <w:qFormat/>
    <w:uiPriority w:val="39"/>
    <w:pPr>
      <w:widowControl w:val="0"/>
      <w:jc w:val="both"/>
    </w:pPr>
    <w:rPr>
      <w:rFonts w:asciiTheme="minorHAnsi" w:hAnsiTheme="minorHAnsi" w:cstheme="minorBidi"/>
      <w:kern w:val="2"/>
      <w:szCs w:val="22"/>
    </w:rPr>
  </w:style>
  <w:style w:type="paragraph" w:styleId="19">
    <w:name w:val="footnote text"/>
    <w:basedOn w:val="1"/>
    <w:link w:val="69"/>
    <w:unhideWhenUsed/>
    <w:qFormat/>
    <w:uiPriority w:val="99"/>
    <w:pPr>
      <w:widowControl w:val="0"/>
      <w:snapToGrid w:val="0"/>
    </w:pPr>
    <w:rPr>
      <w:rFonts w:asciiTheme="minorHAnsi" w:hAnsiTheme="minorHAnsi" w:cstheme="minorBidi"/>
      <w:kern w:val="2"/>
      <w:sz w:val="18"/>
      <w:szCs w:val="18"/>
    </w:rPr>
  </w:style>
  <w:style w:type="paragraph" w:styleId="20">
    <w:name w:val="table of figures"/>
    <w:basedOn w:val="1"/>
    <w:next w:val="1"/>
    <w:unhideWhenUsed/>
    <w:qFormat/>
    <w:uiPriority w:val="99"/>
    <w:pPr>
      <w:widowControl w:val="0"/>
      <w:spacing w:before="120"/>
    </w:pPr>
    <w:rPr>
      <w:rFonts w:ascii="Arial" w:hAnsi="Arial" w:cstheme="minorBidi"/>
      <w:sz w:val="21"/>
      <w:szCs w:val="22"/>
    </w:rPr>
  </w:style>
  <w:style w:type="paragraph" w:styleId="21">
    <w:name w:val="toc 2"/>
    <w:basedOn w:val="1"/>
    <w:next w:val="1"/>
    <w:unhideWhenUsed/>
    <w:qFormat/>
    <w:uiPriority w:val="39"/>
    <w:pPr>
      <w:widowControl w:val="0"/>
      <w:ind w:left="420" w:leftChars="200"/>
      <w:jc w:val="both"/>
    </w:pPr>
    <w:rPr>
      <w:rFonts w:asciiTheme="minorHAnsi" w:hAnsiTheme="minorHAnsi" w:cstheme="minorBidi"/>
      <w:kern w:val="2"/>
      <w:szCs w:val="22"/>
    </w:rPr>
  </w:style>
  <w:style w:type="paragraph" w:styleId="22">
    <w:name w:val="Normal (Web)"/>
    <w:basedOn w:val="1"/>
    <w:unhideWhenUsed/>
    <w:qFormat/>
    <w:uiPriority w:val="99"/>
    <w:pPr>
      <w:spacing w:before="100" w:beforeAutospacing="1" w:after="100" w:afterAutospacing="1"/>
    </w:pPr>
  </w:style>
  <w:style w:type="table" w:styleId="24">
    <w:name w:val="Table Grid"/>
    <w:basedOn w:val="2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endnote reference"/>
    <w:basedOn w:val="25"/>
    <w:unhideWhenUsed/>
    <w:qFormat/>
    <w:uiPriority w:val="99"/>
    <w:rPr>
      <w:vertAlign w:val="superscript"/>
    </w:rPr>
  </w:style>
  <w:style w:type="character" w:styleId="27">
    <w:name w:val="page number"/>
    <w:basedOn w:val="25"/>
    <w:semiHidden/>
    <w:unhideWhenUsed/>
    <w:qFormat/>
    <w:uiPriority w:val="99"/>
  </w:style>
  <w:style w:type="character" w:styleId="28">
    <w:name w:val="Hyperlink"/>
    <w:basedOn w:val="25"/>
    <w:unhideWhenUsed/>
    <w:qFormat/>
    <w:uiPriority w:val="99"/>
    <w:rPr>
      <w:color w:val="0563C1" w:themeColor="hyperlink"/>
      <w:u w:val="single"/>
      <w14:textFill>
        <w14:solidFill>
          <w14:schemeClr w14:val="hlink"/>
        </w14:solidFill>
      </w14:textFill>
    </w:rPr>
  </w:style>
  <w:style w:type="character" w:styleId="29">
    <w:name w:val="annotation reference"/>
    <w:basedOn w:val="25"/>
    <w:unhideWhenUsed/>
    <w:qFormat/>
    <w:uiPriority w:val="0"/>
    <w:rPr>
      <w:sz w:val="21"/>
      <w:szCs w:val="21"/>
    </w:rPr>
  </w:style>
  <w:style w:type="character" w:styleId="30">
    <w:name w:val="footnote reference"/>
    <w:basedOn w:val="25"/>
    <w:unhideWhenUsed/>
    <w:qFormat/>
    <w:uiPriority w:val="99"/>
    <w:rPr>
      <w:vertAlign w:val="superscript"/>
    </w:rPr>
  </w:style>
  <w:style w:type="paragraph" w:customStyle="1" w:styleId="31">
    <w:name w:val="样式 正文缩进 + 首行缩进:  2 字符"/>
    <w:basedOn w:val="2"/>
    <w:link w:val="78"/>
    <w:qFormat/>
    <w:uiPriority w:val="0"/>
    <w:pPr>
      <w:widowControl w:val="0"/>
      <w:spacing w:line="360" w:lineRule="auto"/>
      <w:ind w:firstLine="200"/>
      <w:jc w:val="both"/>
    </w:pPr>
    <w:rPr>
      <w:rFonts w:ascii="Times New Roman" w:hAnsi="Times New Roman"/>
      <w:szCs w:val="20"/>
    </w:rPr>
  </w:style>
  <w:style w:type="paragraph" w:customStyle="1" w:styleId="32">
    <w:name w:val="标题 2 + (西文) 黑体 黑色 段前: 6 磅 段后: 6 磅 + 段前: 0.5 行 段后: 0...."/>
    <w:basedOn w:val="1"/>
    <w:semiHidden/>
    <w:qFormat/>
    <w:uiPriority w:val="0"/>
    <w:pPr>
      <w:keepNext/>
      <w:keepLines/>
      <w:tabs>
        <w:tab w:val="left" w:pos="840"/>
      </w:tabs>
      <w:spacing w:beforeLines="50" w:afterLines="50" w:line="360" w:lineRule="auto"/>
      <w:ind w:left="840" w:hanging="420"/>
      <w:outlineLvl w:val="1"/>
    </w:pPr>
    <w:rPr>
      <w:rFonts w:ascii="黑体" w:hAnsi="Arial" w:eastAsia="黑体"/>
      <w:color w:val="000000"/>
      <w:sz w:val="30"/>
      <w:szCs w:val="20"/>
    </w:rPr>
  </w:style>
  <w:style w:type="character" w:customStyle="1" w:styleId="33">
    <w:name w:val="页眉 字符"/>
    <w:basedOn w:val="25"/>
    <w:link w:val="17"/>
    <w:qFormat/>
    <w:uiPriority w:val="99"/>
    <w:rPr>
      <w:sz w:val="18"/>
      <w:szCs w:val="18"/>
    </w:rPr>
  </w:style>
  <w:style w:type="character" w:customStyle="1" w:styleId="34">
    <w:name w:val="页脚 字符"/>
    <w:basedOn w:val="25"/>
    <w:link w:val="16"/>
    <w:qFormat/>
    <w:uiPriority w:val="99"/>
    <w:rPr>
      <w:sz w:val="18"/>
      <w:szCs w:val="18"/>
    </w:rPr>
  </w:style>
  <w:style w:type="character" w:customStyle="1" w:styleId="35">
    <w:name w:val="标题 1 字符"/>
    <w:basedOn w:val="25"/>
    <w:link w:val="3"/>
    <w:qFormat/>
    <w:uiPriority w:val="0"/>
    <w:rPr>
      <w:rFonts w:ascii="Arial Black" w:hAnsi="Arial Black" w:eastAsia="黑体"/>
      <w:b/>
      <w:smallCaps/>
      <w:spacing w:val="-5"/>
      <w:kern w:val="20"/>
      <w:sz w:val="36"/>
      <w:lang w:eastAsia="en-US"/>
    </w:rPr>
  </w:style>
  <w:style w:type="character" w:customStyle="1" w:styleId="36">
    <w:name w:val="标题 2 字符"/>
    <w:basedOn w:val="25"/>
    <w:link w:val="4"/>
    <w:qFormat/>
    <w:uiPriority w:val="0"/>
    <w:rPr>
      <w:rFonts w:ascii="Arial" w:hAnsi="Arial"/>
      <w:b/>
      <w:bCs/>
      <w:kern w:val="28"/>
      <w:sz w:val="32"/>
      <w:szCs w:val="24"/>
      <w:lang w:eastAsia="en-US"/>
    </w:rPr>
  </w:style>
  <w:style w:type="character" w:customStyle="1" w:styleId="37">
    <w:name w:val="标题 3 字符"/>
    <w:basedOn w:val="25"/>
    <w:link w:val="5"/>
    <w:qFormat/>
    <w:uiPriority w:val="0"/>
    <w:rPr>
      <w:rFonts w:ascii="仿宋" w:hAnsi="仿宋" w:eastAsia="仿宋" w:cs="仿宋"/>
      <w:b/>
      <w:bCs/>
      <w:color w:val="000000" w:themeColor="text1"/>
      <w:spacing w:val="-10"/>
      <w:kern w:val="28"/>
      <w:sz w:val="28"/>
      <w:szCs w:val="28"/>
      <w14:textFill>
        <w14:solidFill>
          <w14:schemeClr w14:val="tx1"/>
        </w14:solidFill>
      </w14:textFill>
    </w:rPr>
  </w:style>
  <w:style w:type="character" w:customStyle="1" w:styleId="38">
    <w:name w:val="标题 4 字符"/>
    <w:basedOn w:val="25"/>
    <w:link w:val="6"/>
    <w:qFormat/>
    <w:uiPriority w:val="0"/>
    <w:rPr>
      <w:rFonts w:ascii="Arial" w:hAnsi="Arial"/>
      <w:b/>
      <w:bCs/>
      <w:spacing w:val="-4"/>
      <w:kern w:val="28"/>
      <w:sz w:val="24"/>
      <w:lang w:eastAsia="en-US"/>
    </w:rPr>
  </w:style>
  <w:style w:type="character" w:customStyle="1" w:styleId="39">
    <w:name w:val="标题 5 字符"/>
    <w:basedOn w:val="25"/>
    <w:link w:val="7"/>
    <w:qFormat/>
    <w:uiPriority w:val="0"/>
    <w:rPr>
      <w:rFonts w:ascii="Arial" w:hAnsi="Arial"/>
      <w:spacing w:val="-4"/>
      <w:kern w:val="28"/>
      <w:sz w:val="24"/>
      <w:lang w:eastAsia="en-US"/>
    </w:rPr>
  </w:style>
  <w:style w:type="character" w:customStyle="1" w:styleId="40">
    <w:name w:val="标题 6 字符"/>
    <w:basedOn w:val="25"/>
    <w:link w:val="8"/>
    <w:qFormat/>
    <w:uiPriority w:val="9"/>
    <w:rPr>
      <w:rFonts w:ascii="Arial" w:hAnsi="Arial"/>
      <w:i/>
      <w:spacing w:val="-4"/>
      <w:kern w:val="28"/>
      <w:sz w:val="24"/>
      <w:lang w:eastAsia="en-US"/>
    </w:rPr>
  </w:style>
  <w:style w:type="character" w:customStyle="1" w:styleId="41">
    <w:name w:val="标题 7 字符"/>
    <w:basedOn w:val="25"/>
    <w:link w:val="9"/>
    <w:qFormat/>
    <w:uiPriority w:val="9"/>
    <w:rPr>
      <w:rFonts w:ascii="Arial" w:hAnsi="Arial"/>
      <w:spacing w:val="-4"/>
      <w:kern w:val="28"/>
      <w:sz w:val="24"/>
      <w:lang w:eastAsia="en-US"/>
    </w:rPr>
  </w:style>
  <w:style w:type="character" w:customStyle="1" w:styleId="42">
    <w:name w:val="标题 8 字符"/>
    <w:basedOn w:val="25"/>
    <w:link w:val="10"/>
    <w:qFormat/>
    <w:uiPriority w:val="9"/>
    <w:rPr>
      <w:rFonts w:ascii="Arial" w:hAnsi="Arial"/>
      <w:i/>
      <w:spacing w:val="-4"/>
      <w:kern w:val="28"/>
      <w:sz w:val="18"/>
      <w:lang w:eastAsia="en-US"/>
    </w:rPr>
  </w:style>
  <w:style w:type="character" w:customStyle="1" w:styleId="43">
    <w:name w:val="标题 9 字符"/>
    <w:basedOn w:val="25"/>
    <w:link w:val="11"/>
    <w:qFormat/>
    <w:uiPriority w:val="9"/>
    <w:rPr>
      <w:rFonts w:ascii="Arial" w:hAnsi="Arial"/>
      <w:spacing w:val="-4"/>
      <w:kern w:val="28"/>
      <w:sz w:val="18"/>
      <w:lang w:eastAsia="en-US"/>
    </w:rPr>
  </w:style>
  <w:style w:type="paragraph" w:customStyle="1" w:styleId="44">
    <w:name w:val="DocParagraph"/>
    <w:basedOn w:val="1"/>
    <w:link w:val="45"/>
    <w:qFormat/>
    <w:uiPriority w:val="1"/>
    <w:pPr>
      <w:widowControl w:val="0"/>
      <w:spacing w:before="120" w:line="288" w:lineRule="auto"/>
      <w:ind w:left="1247"/>
      <w:jc w:val="both"/>
    </w:pPr>
    <w:rPr>
      <w:rFonts w:ascii="Arial" w:hAnsi="Arial" w:cstheme="minorBidi"/>
      <w:kern w:val="44"/>
      <w:sz w:val="21"/>
      <w:szCs w:val="44"/>
    </w:rPr>
  </w:style>
  <w:style w:type="character" w:customStyle="1" w:styleId="45">
    <w:name w:val="DocParagraph Char"/>
    <w:basedOn w:val="25"/>
    <w:link w:val="44"/>
    <w:qFormat/>
    <w:uiPriority w:val="1"/>
    <w:rPr>
      <w:rFonts w:ascii="Arial" w:hAnsi="Arial" w:eastAsia="宋体"/>
      <w:kern w:val="44"/>
      <w:szCs w:val="44"/>
    </w:rPr>
  </w:style>
  <w:style w:type="paragraph" w:styleId="46">
    <w:name w:val="List Paragraph"/>
    <w:basedOn w:val="1"/>
    <w:link w:val="48"/>
    <w:qFormat/>
    <w:uiPriority w:val="34"/>
    <w:pPr>
      <w:widowControl w:val="0"/>
      <w:ind w:firstLine="420" w:firstLineChars="200"/>
      <w:jc w:val="both"/>
    </w:pPr>
    <w:rPr>
      <w:rFonts w:asciiTheme="minorHAnsi" w:hAnsiTheme="minorHAnsi" w:cstheme="minorBidi"/>
      <w:kern w:val="2"/>
      <w:szCs w:val="22"/>
    </w:rPr>
  </w:style>
  <w:style w:type="paragraph" w:customStyle="1" w:styleId="47">
    <w:name w:val="列出段落2"/>
    <w:basedOn w:val="1"/>
    <w:qFormat/>
    <w:uiPriority w:val="34"/>
    <w:pPr>
      <w:widowControl w:val="0"/>
      <w:ind w:firstLine="420" w:firstLineChars="200"/>
      <w:jc w:val="both"/>
    </w:pPr>
    <w:rPr>
      <w:rFonts w:ascii="Arial" w:hAnsi="Arial" w:cstheme="minorBidi"/>
      <w:kern w:val="2"/>
      <w:sz w:val="21"/>
      <w:szCs w:val="22"/>
    </w:rPr>
  </w:style>
  <w:style w:type="character" w:customStyle="1" w:styleId="48">
    <w:name w:val="列表段落 字符"/>
    <w:link w:val="46"/>
    <w:qFormat/>
    <w:uiPriority w:val="34"/>
    <w:rPr>
      <w:rFonts w:eastAsia="宋体"/>
      <w:sz w:val="24"/>
    </w:rPr>
  </w:style>
  <w:style w:type="paragraph" w:customStyle="1" w:styleId="49">
    <w:name w:val="列出段落1"/>
    <w:basedOn w:val="1"/>
    <w:link w:val="51"/>
    <w:qFormat/>
    <w:uiPriority w:val="99"/>
    <w:pPr>
      <w:widowControl w:val="0"/>
      <w:ind w:firstLine="420" w:firstLineChars="200"/>
      <w:jc w:val="both"/>
    </w:pPr>
    <w:rPr>
      <w:rFonts w:ascii="Arial" w:hAnsi="Arial" w:cstheme="minorBidi"/>
      <w:kern w:val="2"/>
      <w:sz w:val="21"/>
      <w:szCs w:val="22"/>
    </w:rPr>
  </w:style>
  <w:style w:type="character" w:customStyle="1" w:styleId="50">
    <w:name w:val="题注 字符"/>
    <w:link w:val="12"/>
    <w:qFormat/>
    <w:uiPriority w:val="0"/>
    <w:rPr>
      <w:rFonts w:eastAsia="黑体" w:asciiTheme="majorHAnsi" w:hAnsiTheme="majorHAnsi" w:cstheme="majorBidi"/>
      <w:sz w:val="20"/>
      <w:szCs w:val="20"/>
    </w:rPr>
  </w:style>
  <w:style w:type="character" w:customStyle="1" w:styleId="51">
    <w:name w:val="列出段落 Char"/>
    <w:link w:val="49"/>
    <w:qFormat/>
    <w:uiPriority w:val="99"/>
    <w:rPr>
      <w:rFonts w:ascii="Arial" w:hAnsi="Arial" w:eastAsia="宋体"/>
    </w:rPr>
  </w:style>
  <w:style w:type="character" w:customStyle="1" w:styleId="52">
    <w:name w:val="正文1 Char"/>
    <w:link w:val="53"/>
    <w:semiHidden/>
    <w:qFormat/>
    <w:uiPriority w:val="0"/>
    <w:rPr>
      <w:rFonts w:ascii="Arial" w:hAnsi="Arial"/>
      <w:sz w:val="28"/>
      <w:szCs w:val="21"/>
    </w:rPr>
  </w:style>
  <w:style w:type="paragraph" w:customStyle="1" w:styleId="53">
    <w:name w:val="正文1"/>
    <w:basedOn w:val="1"/>
    <w:link w:val="52"/>
    <w:semiHidden/>
    <w:qFormat/>
    <w:uiPriority w:val="0"/>
    <w:pPr>
      <w:spacing w:beforeLines="50" w:afterLines="50" w:line="360" w:lineRule="auto"/>
      <w:ind w:firstLine="200" w:firstLineChars="200"/>
    </w:pPr>
    <w:rPr>
      <w:rFonts w:ascii="Arial" w:hAnsi="Arial" w:cs="Times New Roman" w:eastAsiaTheme="minorEastAsia"/>
      <w:sz w:val="28"/>
      <w:szCs w:val="21"/>
    </w:rPr>
  </w:style>
  <w:style w:type="character" w:customStyle="1" w:styleId="54">
    <w:name w:val="智业正文 Char"/>
    <w:link w:val="55"/>
    <w:qFormat/>
    <w:locked/>
    <w:uiPriority w:val="0"/>
    <w:rPr>
      <w:rFonts w:ascii="Times New Roman" w:hAnsi="Times New Roman" w:eastAsia="宋体" w:cs="Times New Roman"/>
      <w:kern w:val="0"/>
      <w:sz w:val="24"/>
      <w:szCs w:val="20"/>
      <w:lang w:val="zh-CN" w:eastAsia="zh-CN"/>
    </w:rPr>
  </w:style>
  <w:style w:type="paragraph" w:customStyle="1" w:styleId="55">
    <w:name w:val="智业正文"/>
    <w:basedOn w:val="1"/>
    <w:link w:val="54"/>
    <w:qFormat/>
    <w:uiPriority w:val="0"/>
    <w:pPr>
      <w:widowControl w:val="0"/>
      <w:spacing w:line="360" w:lineRule="auto"/>
      <w:ind w:firstLine="200" w:firstLineChars="200"/>
      <w:jc w:val="both"/>
    </w:pPr>
    <w:rPr>
      <w:rFonts w:ascii="Times New Roman" w:hAnsi="Times New Roman" w:cs="Times New Roman"/>
      <w:szCs w:val="20"/>
      <w:lang w:val="zh-CN"/>
    </w:rPr>
  </w:style>
  <w:style w:type="paragraph" w:customStyle="1" w:styleId="56">
    <w:name w:val="样式 小四 行距: 1.5 倍行距"/>
    <w:basedOn w:val="1"/>
    <w:link w:val="57"/>
    <w:semiHidden/>
    <w:qFormat/>
    <w:uiPriority w:val="0"/>
    <w:pPr>
      <w:spacing w:before="100" w:beforeAutospacing="1" w:after="100" w:afterAutospacing="1" w:line="360" w:lineRule="auto"/>
      <w:ind w:firstLine="420" w:firstLineChars="200"/>
    </w:pPr>
    <w:rPr>
      <w:rFonts w:ascii="新宋体" w:hAnsi="新宋体" w:eastAsia="新宋体"/>
      <w:szCs w:val="21"/>
    </w:rPr>
  </w:style>
  <w:style w:type="character" w:customStyle="1" w:styleId="57">
    <w:name w:val="样式 小四 行距: 1.5 倍行距 Char"/>
    <w:link w:val="56"/>
    <w:semiHidden/>
    <w:qFormat/>
    <w:uiPriority w:val="0"/>
    <w:rPr>
      <w:rFonts w:ascii="新宋体" w:hAnsi="新宋体" w:eastAsia="新宋体" w:cs="宋体"/>
      <w:sz w:val="24"/>
      <w:szCs w:val="21"/>
    </w:rPr>
  </w:style>
  <w:style w:type="paragraph" w:customStyle="1" w:styleId="58">
    <w:name w:val="贾睿标题3"/>
    <w:basedOn w:val="1"/>
    <w:semiHidden/>
    <w:qFormat/>
    <w:uiPriority w:val="99"/>
    <w:pPr>
      <w:spacing w:before="100" w:beforeLines="100" w:after="100" w:afterLines="100" w:line="360" w:lineRule="auto"/>
      <w:outlineLvl w:val="2"/>
    </w:pPr>
    <w:rPr>
      <w:rFonts w:ascii="Times New Roman" w:hAnsi="Times New Roman" w:cs="Times New Roman"/>
      <w:b/>
      <w:sz w:val="28"/>
    </w:rPr>
  </w:style>
  <w:style w:type="paragraph" w:customStyle="1" w:styleId="59">
    <w:name w:val="正文（缩进）"/>
    <w:basedOn w:val="1"/>
    <w:qFormat/>
    <w:uiPriority w:val="0"/>
    <w:pPr>
      <w:widowControl w:val="0"/>
      <w:spacing w:before="50" w:beforeLines="50" w:after="50" w:afterLines="50" w:line="360" w:lineRule="auto"/>
      <w:ind w:firstLine="200" w:firstLineChars="200"/>
      <w:jc w:val="both"/>
    </w:pPr>
    <w:rPr>
      <w:rFonts w:asciiTheme="minorHAnsi" w:hAnsiTheme="minorHAnsi" w:cstheme="minorBidi"/>
      <w:kern w:val="2"/>
    </w:rPr>
  </w:style>
  <w:style w:type="paragraph" w:customStyle="1" w:styleId="60">
    <w:name w:val="WPSOffice手动目录 1"/>
    <w:qFormat/>
    <w:uiPriority w:val="0"/>
    <w:rPr>
      <w:rFonts w:asciiTheme="minorHAnsi" w:hAnsiTheme="minorHAnsi" w:eastAsiaTheme="minorEastAsia" w:cstheme="minorBidi"/>
      <w:lang w:val="en-US" w:eastAsia="zh-CN" w:bidi="ar-SA"/>
    </w:rPr>
  </w:style>
  <w:style w:type="paragraph" w:customStyle="1" w:styleId="61">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62">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63">
    <w:name w:val="文档内容"/>
    <w:basedOn w:val="1"/>
    <w:qFormat/>
    <w:uiPriority w:val="0"/>
    <w:pPr>
      <w:widowControl w:val="0"/>
      <w:adjustRightInd w:val="0"/>
      <w:spacing w:line="312" w:lineRule="atLeast"/>
      <w:ind w:firstLine="540"/>
      <w:jc w:val="both"/>
      <w:textAlignment w:val="baseline"/>
    </w:pPr>
    <w:rPr>
      <w:rFonts w:hAnsi="Times New Roman" w:cstheme="minorBidi"/>
      <w:sz w:val="28"/>
      <w:szCs w:val="20"/>
    </w:rPr>
  </w:style>
  <w:style w:type="paragraph" w:customStyle="1" w:styleId="64">
    <w:name w:val="Bid_正文"/>
    <w:basedOn w:val="2"/>
    <w:qFormat/>
    <w:uiPriority w:val="0"/>
    <w:pPr>
      <w:spacing w:afterLines="50"/>
      <w:ind w:firstLine="480"/>
    </w:pPr>
    <w:rPr>
      <w:rFonts w:ascii="仿宋" w:hAnsi="仿宋" w:eastAsia="仿宋"/>
      <w:szCs w:val="20"/>
    </w:rPr>
  </w:style>
  <w:style w:type="paragraph" w:customStyle="1" w:styleId="65">
    <w:name w:val="样式 (西文) 宋体 行距: 1.5 倍行距 首行缩进:  2 字符"/>
    <w:basedOn w:val="1"/>
    <w:qFormat/>
    <w:uiPriority w:val="0"/>
    <w:pPr>
      <w:widowControl w:val="0"/>
      <w:ind w:firstLine="420"/>
      <w:jc w:val="both"/>
    </w:pPr>
    <w:rPr>
      <w:kern w:val="2"/>
      <w:sz w:val="21"/>
      <w:szCs w:val="20"/>
    </w:rPr>
  </w:style>
  <w:style w:type="paragraph" w:customStyle="1" w:styleId="66">
    <w:name w:val="正式正文样式"/>
    <w:basedOn w:val="1"/>
    <w:qFormat/>
    <w:uiPriority w:val="0"/>
    <w:pPr>
      <w:ind w:firstLine="480"/>
    </w:pPr>
    <w:rPr>
      <w:rFonts w:cstheme="minorBidi"/>
      <w:kern w:val="2"/>
      <w:lang w:eastAsia="en-US"/>
    </w:rPr>
  </w:style>
  <w:style w:type="paragraph" w:customStyle="1" w:styleId="67">
    <w:name w:val="_正文段落"/>
    <w:basedOn w:val="1"/>
    <w:qFormat/>
    <w:uiPriority w:val="0"/>
    <w:pPr>
      <w:widowControl w:val="0"/>
      <w:spacing w:before="46" w:beforeLines="15" w:after="46" w:afterLines="15" w:line="360" w:lineRule="auto"/>
      <w:jc w:val="both"/>
    </w:pPr>
    <w:rPr>
      <w:rFonts w:eastAsia="微软雅黑" w:asciiTheme="minorHAnsi" w:hAnsiTheme="minorHAnsi" w:cstheme="minorBidi"/>
      <w:kern w:val="2"/>
      <w:szCs w:val="22"/>
    </w:rPr>
  </w:style>
  <w:style w:type="paragraph" w:customStyle="1" w:styleId="68">
    <w:name w:val="￥正文"/>
    <w:basedOn w:val="1"/>
    <w:qFormat/>
    <w:uiPriority w:val="0"/>
    <w:pPr>
      <w:widowControl w:val="0"/>
      <w:spacing w:line="360" w:lineRule="auto"/>
      <w:ind w:firstLine="200" w:firstLineChars="200"/>
    </w:pPr>
    <w:rPr>
      <w:rFonts w:ascii="Calibri" w:hAnsi="Calibri" w:cstheme="minorBidi"/>
      <w:kern w:val="2"/>
      <w:szCs w:val="22"/>
    </w:rPr>
  </w:style>
  <w:style w:type="character" w:customStyle="1" w:styleId="69">
    <w:name w:val="脚注文本 字符"/>
    <w:basedOn w:val="25"/>
    <w:link w:val="19"/>
    <w:qFormat/>
    <w:uiPriority w:val="99"/>
    <w:rPr>
      <w:rFonts w:asciiTheme="minorHAnsi" w:hAnsiTheme="minorHAnsi" w:cstheme="minorBidi"/>
      <w:kern w:val="2"/>
      <w:sz w:val="18"/>
      <w:szCs w:val="18"/>
    </w:rPr>
  </w:style>
  <w:style w:type="character" w:customStyle="1" w:styleId="70">
    <w:name w:val="尾注文本 字符"/>
    <w:basedOn w:val="25"/>
    <w:link w:val="14"/>
    <w:qFormat/>
    <w:uiPriority w:val="99"/>
    <w:rPr>
      <w:rFonts w:asciiTheme="minorHAnsi" w:hAnsiTheme="minorHAnsi" w:cstheme="minorBidi"/>
      <w:kern w:val="2"/>
      <w:sz w:val="24"/>
      <w:szCs w:val="22"/>
    </w:rPr>
  </w:style>
  <w:style w:type="paragraph" w:customStyle="1" w:styleId="71">
    <w:name w:val="p1"/>
    <w:basedOn w:val="1"/>
    <w:qFormat/>
    <w:uiPriority w:val="0"/>
    <w:rPr>
      <w:rFonts w:ascii="Helvetica Neue" w:hAnsi="Helvetica Neue" w:cs="Times New Roman"/>
      <w:color w:val="454545"/>
      <w:sz w:val="18"/>
      <w:szCs w:val="18"/>
    </w:rPr>
  </w:style>
  <w:style w:type="character" w:customStyle="1" w:styleId="72">
    <w:name w:val="s1"/>
    <w:basedOn w:val="25"/>
    <w:qFormat/>
    <w:uiPriority w:val="0"/>
    <w:rPr>
      <w:rFonts w:hint="eastAsia" w:ascii=".PingFang SC" w:eastAsia=".PingFang SC"/>
      <w:sz w:val="18"/>
      <w:szCs w:val="18"/>
    </w:rPr>
  </w:style>
  <w:style w:type="character" w:customStyle="1" w:styleId="73">
    <w:name w:val="批注框文本 字符"/>
    <w:basedOn w:val="25"/>
    <w:link w:val="15"/>
    <w:semiHidden/>
    <w:qFormat/>
    <w:uiPriority w:val="99"/>
    <w:rPr>
      <w:rFonts w:ascii="宋体" w:hAnsiTheme="minorHAnsi" w:cstheme="minorBidi"/>
      <w:kern w:val="2"/>
      <w:sz w:val="18"/>
      <w:szCs w:val="18"/>
    </w:rPr>
  </w:style>
  <w:style w:type="paragraph" w:styleId="74">
    <w:name w:val="No Spacing"/>
    <w:link w:val="75"/>
    <w:qFormat/>
    <w:uiPriority w:val="1"/>
    <w:rPr>
      <w:rFonts w:eastAsia="Microsoft YaHei UI" w:asciiTheme="minorHAnsi" w:hAnsiTheme="minorHAnsi" w:cstheme="minorBidi"/>
      <w:sz w:val="22"/>
      <w:szCs w:val="22"/>
      <w:lang w:val="en-US" w:eastAsia="zh-CN" w:bidi="ar-SA"/>
    </w:rPr>
  </w:style>
  <w:style w:type="character" w:customStyle="1" w:styleId="75">
    <w:name w:val="无间隔 字符"/>
    <w:basedOn w:val="25"/>
    <w:link w:val="74"/>
    <w:qFormat/>
    <w:uiPriority w:val="1"/>
    <w:rPr>
      <w:rFonts w:eastAsia="Microsoft YaHei UI" w:asciiTheme="minorHAnsi" w:hAnsiTheme="minorHAnsi" w:cstheme="minorBidi"/>
      <w:sz w:val="22"/>
      <w:szCs w:val="22"/>
    </w:rPr>
  </w:style>
  <w:style w:type="paragraph" w:customStyle="1" w:styleId="76">
    <w:name w:val="目录标题1"/>
    <w:basedOn w:val="1"/>
    <w:unhideWhenUsed/>
    <w:qFormat/>
    <w:uiPriority w:val="39"/>
    <w:pPr>
      <w:keepNext/>
      <w:spacing w:before="840" w:after="240"/>
    </w:pPr>
    <w:rPr>
      <w:rFonts w:ascii="Arial" w:hAnsi="Arial" w:cstheme="majorBidi"/>
      <w:b/>
      <w:spacing w:val="10"/>
      <w:kern w:val="20"/>
      <w:sz w:val="40"/>
      <w:szCs w:val="28"/>
    </w:rPr>
  </w:style>
  <w:style w:type="paragraph" w:customStyle="1" w:styleId="77">
    <w:name w:val="p-left"/>
    <w:basedOn w:val="1"/>
    <w:qFormat/>
    <w:uiPriority w:val="0"/>
    <w:pPr>
      <w:spacing w:before="100" w:beforeAutospacing="1" w:after="100" w:afterAutospacing="1"/>
    </w:pPr>
  </w:style>
  <w:style w:type="character" w:customStyle="1" w:styleId="78">
    <w:name w:val="样式 正文缩进 + 首行缩进:  2 字符 Char"/>
    <w:link w:val="31"/>
    <w:qFormat/>
    <w:uiPriority w:val="0"/>
    <w:rPr>
      <w:sz w:val="24"/>
      <w:lang w:val="zh-CN"/>
    </w:rPr>
  </w:style>
  <w:style w:type="paragraph" w:customStyle="1" w:styleId="79">
    <w:name w:val="*正文"/>
    <w:basedOn w:val="1"/>
    <w:next w:val="1"/>
    <w:qFormat/>
    <w:uiPriority w:val="0"/>
    <w:pPr>
      <w:spacing w:line="360" w:lineRule="auto"/>
      <w:ind w:firstLine="482" w:firstLineChars="200"/>
      <w:jc w:val="both"/>
    </w:pPr>
    <w:rPr>
      <w:rFonts w:ascii="微软雅黑" w:hAnsi="微软雅黑" w:eastAsia="微软雅黑" w:cstheme="minorBidi"/>
      <w:kern w:val="2"/>
      <w:sz w:val="21"/>
    </w:rPr>
  </w:style>
  <w:style w:type="paragraph" w:customStyle="1" w:styleId="80">
    <w:name w:val="S_标题2"/>
    <w:basedOn w:val="4"/>
    <w:next w:val="1"/>
    <w:qFormat/>
    <w:uiPriority w:val="0"/>
    <w:pPr>
      <w:numPr>
        <w:numId w:val="2"/>
      </w:numPr>
      <w:tabs>
        <w:tab w:val="left" w:pos="567"/>
        <w:tab w:val="clear" w:pos="432"/>
        <w:tab w:val="clear" w:pos="9000"/>
      </w:tabs>
      <w:spacing w:before="156" w:beforeLines="50" w:after="156" w:afterLines="50" w:line="240" w:lineRule="auto"/>
    </w:pPr>
    <w:rPr>
      <w:rFonts w:ascii="Times New Roman" w:hAnsi="Times New Roman"/>
      <w:sz w:val="30"/>
      <w:szCs w:val="30"/>
    </w:rPr>
  </w:style>
  <w:style w:type="paragraph" w:customStyle="1" w:styleId="81">
    <w:name w:val="S_标题4"/>
    <w:basedOn w:val="6"/>
    <w:next w:val="1"/>
    <w:qFormat/>
    <w:uiPriority w:val="0"/>
    <w:pPr>
      <w:numPr>
        <w:numId w:val="3"/>
      </w:numPr>
      <w:tabs>
        <w:tab w:val="left" w:pos="567"/>
        <w:tab w:val="clear" w:pos="432"/>
        <w:tab w:val="clear" w:pos="1800"/>
        <w:tab w:val="clear" w:pos="9000"/>
      </w:tabs>
      <w:spacing w:beforeLines="50" w:afterLines="50" w:line="240" w:lineRule="auto"/>
    </w:pPr>
    <w:rPr>
      <w:rFonts w:ascii="Times New Roman" w:hAnsi="Times New Roman"/>
      <w:szCs w:val="24"/>
    </w:rPr>
  </w:style>
  <w:style w:type="paragraph" w:customStyle="1" w:styleId="82">
    <w:name w:val="SANGFOR_2_标题2"/>
    <w:basedOn w:val="4"/>
    <w:next w:val="83"/>
    <w:qFormat/>
    <w:uiPriority w:val="0"/>
    <w:pPr>
      <w:numPr>
        <w:numId w:val="3"/>
      </w:numPr>
      <w:tabs>
        <w:tab w:val="left" w:pos="567"/>
        <w:tab w:val="left" w:pos="5813"/>
        <w:tab w:val="clear" w:pos="432"/>
        <w:tab w:val="clear" w:pos="9000"/>
      </w:tabs>
      <w:spacing w:beforeLines="50" w:afterLines="50" w:line="240" w:lineRule="auto"/>
    </w:pPr>
    <w:rPr>
      <w:rFonts w:ascii="Times New Roman" w:hAnsi="Times New Roman"/>
      <w:sz w:val="30"/>
      <w:szCs w:val="30"/>
    </w:rPr>
  </w:style>
  <w:style w:type="paragraph" w:customStyle="1" w:styleId="83">
    <w:name w:val="正文（SANGFOR）"/>
    <w:basedOn w:val="1"/>
    <w:qFormat/>
    <w:uiPriority w:val="0"/>
    <w:pPr>
      <w:tabs>
        <w:tab w:val="right" w:pos="9031"/>
      </w:tabs>
      <w:autoSpaceDE w:val="0"/>
      <w:autoSpaceDN w:val="0"/>
      <w:adjustRightInd w:val="0"/>
      <w:spacing w:before="80" w:after="80" w:line="300" w:lineRule="auto"/>
      <w:ind w:left="567"/>
    </w:pPr>
    <w:rPr>
      <w:rFonts w:ascii="Arial" w:hAnsi="Arial" w:cs="Times New Roman"/>
      <w:szCs w:val="21"/>
    </w:rPr>
  </w:style>
  <w:style w:type="paragraph" w:customStyle="1" w:styleId="84">
    <w:name w:val="SANGFOR_6_正文"/>
    <w:basedOn w:val="1"/>
    <w:qFormat/>
    <w:uiPriority w:val="0"/>
    <w:pPr>
      <w:spacing w:line="360" w:lineRule="auto"/>
      <w:ind w:firstLine="420"/>
    </w:pPr>
    <w:rPr>
      <w:rFonts w:ascii="微软雅黑" w:hAnsi="微软雅黑" w:eastAsia="微软雅黑"/>
    </w:rPr>
  </w:style>
  <w:style w:type="paragraph" w:customStyle="1" w:styleId="85">
    <w:name w:val="SANGFOR_3_标题3"/>
    <w:basedOn w:val="5"/>
    <w:next w:val="83"/>
    <w:qFormat/>
    <w:uiPriority w:val="0"/>
    <w:pPr>
      <w:numPr>
        <w:numId w:val="4"/>
      </w:numPr>
      <w:tabs>
        <w:tab w:val="clear" w:pos="432"/>
      </w:tabs>
    </w:pPr>
    <w:rPr>
      <w:rFonts w:ascii="Arial" w:hAnsi="Arial" w:cs="Times New Roman"/>
      <w:kern w:val="0"/>
      <w:szCs w:val="24"/>
    </w:rPr>
  </w:style>
  <w:style w:type="paragraph" w:customStyle="1" w:styleId="86">
    <w:name w:val="SANGFOR_4_标题4"/>
    <w:basedOn w:val="6"/>
    <w:next w:val="83"/>
    <w:qFormat/>
    <w:uiPriority w:val="0"/>
    <w:pPr>
      <w:numPr>
        <w:numId w:val="4"/>
      </w:numPr>
      <w:tabs>
        <w:tab w:val="clear" w:pos="432"/>
        <w:tab w:val="clear" w:pos="1800"/>
        <w:tab w:val="clear" w:pos="9000"/>
      </w:tabs>
      <w:spacing w:before="240" w:after="240" w:line="360" w:lineRule="auto"/>
    </w:pPr>
    <w:rPr>
      <w:rFonts w:ascii="黑体" w:hAnsi="黑体"/>
      <w:kern w:val="0"/>
    </w:rPr>
  </w:style>
  <w:style w:type="paragraph" w:customStyle="1" w:styleId="87">
    <w:name w:val="正文-宋小四-缩2"/>
    <w:basedOn w:val="1"/>
    <w:qFormat/>
    <w:uiPriority w:val="0"/>
    <w:pPr>
      <w:tabs>
        <w:tab w:val="left" w:pos="1106"/>
        <w:tab w:val="left" w:pos="2211"/>
        <w:tab w:val="left" w:pos="3317"/>
        <w:tab w:val="left" w:pos="4423"/>
        <w:tab w:val="left" w:pos="5528"/>
        <w:tab w:val="left" w:pos="6634"/>
        <w:tab w:val="left" w:pos="7740"/>
      </w:tabs>
      <w:spacing w:line="360" w:lineRule="auto"/>
      <w:ind w:firstLine="480" w:firstLineChars="200"/>
    </w:pPr>
    <w:rPr>
      <w:rFonts w:ascii="Arial" w:hAnsi="Arial" w:cs="Times New Roman"/>
      <w:szCs w:val="28"/>
    </w:rPr>
  </w:style>
  <w:style w:type="paragraph" w:customStyle="1" w:styleId="88">
    <w:name w:val="1级序标"/>
    <w:basedOn w:val="1"/>
    <w:qFormat/>
    <w:uiPriority w:val="0"/>
    <w:pPr>
      <w:numPr>
        <w:ilvl w:val="0"/>
        <w:numId w:val="5"/>
      </w:numPr>
      <w:adjustRightInd w:val="0"/>
      <w:snapToGrid w:val="0"/>
      <w:spacing w:line="360" w:lineRule="auto"/>
    </w:pPr>
    <w:rPr>
      <w:rFonts w:ascii="Times New Roman" w:hAnsi="Times New Roman"/>
    </w:rPr>
  </w:style>
  <w:style w:type="paragraph" w:customStyle="1" w:styleId="89">
    <w:name w:val="正文（深信服科技）"/>
    <w:qFormat/>
    <w:uiPriority w:val="0"/>
    <w:pPr>
      <w:adjustRightInd w:val="0"/>
      <w:snapToGrid w:val="0"/>
      <w:spacing w:line="360" w:lineRule="auto"/>
      <w:ind w:firstLine="480" w:firstLineChars="200"/>
      <w:jc w:val="both"/>
    </w:pPr>
    <w:rPr>
      <w:rFonts w:ascii="Times New Roman" w:hAnsi="Times New Roman" w:eastAsia="宋体" w:cs="Times New Roman"/>
      <w:sz w:val="24"/>
      <w:szCs w:val="21"/>
      <w:lang w:val="en-US" w:eastAsia="zh-CN" w:bidi="ar-SA"/>
    </w:rPr>
  </w:style>
  <w:style w:type="paragraph" w:customStyle="1" w:styleId="90">
    <w:name w:val="标题 3（深信服科技）"/>
    <w:basedOn w:val="5"/>
    <w:next w:val="89"/>
    <w:qFormat/>
    <w:uiPriority w:val="0"/>
    <w:pPr>
      <w:tabs>
        <w:tab w:val="left" w:pos="420"/>
        <w:tab w:val="left" w:pos="960"/>
        <w:tab w:val="clear" w:pos="432"/>
      </w:tabs>
      <w:spacing w:before="156" w:after="156" w:line="240" w:lineRule="auto"/>
      <w:ind w:left="400" w:hanging="400"/>
    </w:pPr>
    <w:rPr>
      <w:rFonts w:ascii="Times New Roman" w:hAnsi="Times New Roman" w:eastAsia="黑体" w:cs="Times New Roman"/>
      <w:bCs w:val="0"/>
      <w:kern w:val="0"/>
      <w:szCs w:val="30"/>
    </w:rPr>
  </w:style>
  <w:style w:type="paragraph" w:customStyle="1" w:styleId="91">
    <w:name w:val="标题 5（深信服科技）"/>
    <w:basedOn w:val="1"/>
    <w:next w:val="89"/>
    <w:qFormat/>
    <w:uiPriority w:val="0"/>
    <w:pPr>
      <w:keepNext/>
      <w:keepLines/>
      <w:widowControl w:val="0"/>
      <w:tabs>
        <w:tab w:val="left" w:pos="420"/>
      </w:tabs>
      <w:adjustRightInd w:val="0"/>
      <w:snapToGrid w:val="0"/>
      <w:spacing w:before="50" w:beforeLines="50" w:after="50" w:afterLines="50"/>
      <w:ind w:left="400" w:hanging="400"/>
      <w:outlineLvl w:val="4"/>
    </w:pPr>
    <w:rPr>
      <w:rFonts w:eastAsia="微软雅黑" w:cs="Times New Roman"/>
      <w:b/>
      <w:sz w:val="21"/>
      <w:szCs w:val="28"/>
    </w:rPr>
  </w:style>
  <w:style w:type="paragraph" w:customStyle="1" w:styleId="92">
    <w:name w:val="my正文"/>
    <w:basedOn w:val="1"/>
    <w:qFormat/>
    <w:uiPriority w:val="0"/>
    <w:pPr>
      <w:ind w:firstLine="480" w:firstLineChars="200"/>
    </w:pPr>
    <w:rPr>
      <w:rFonts w:ascii="Arial" w:hAnsi="Arial"/>
    </w:rPr>
  </w:style>
  <w:style w:type="paragraph" w:customStyle="1" w:styleId="93">
    <w:name w:val="正文（深信服首行缩进2字符）"/>
    <w:basedOn w:val="1"/>
    <w:qFormat/>
    <w:uiPriority w:val="0"/>
    <w:pPr>
      <w:spacing w:line="360" w:lineRule="auto"/>
      <w:ind w:firstLine="480" w:firstLineChars="200"/>
    </w:pPr>
    <w:rPr>
      <w:kern w:val="2"/>
    </w:rPr>
  </w:style>
  <w:style w:type="paragraph" w:customStyle="1" w:styleId="94">
    <w:name w:val="标题 4（深信服科技）"/>
    <w:basedOn w:val="6"/>
    <w:next w:val="89"/>
    <w:qFormat/>
    <w:uiPriority w:val="0"/>
    <w:pPr>
      <w:tabs>
        <w:tab w:val="left" w:pos="420"/>
        <w:tab w:val="clear" w:pos="432"/>
        <w:tab w:val="clear" w:pos="1800"/>
        <w:tab w:val="clear" w:pos="9000"/>
      </w:tabs>
      <w:spacing w:before="156" w:after="156" w:line="240" w:lineRule="auto"/>
      <w:ind w:left="400" w:hanging="400"/>
    </w:pPr>
    <w:rPr>
      <w:rFonts w:ascii="Times New Roman" w:hAnsi="Times New Roman" w:eastAsia="黑体"/>
      <w:bCs w:val="0"/>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88246F-9A47-2C4C-B5A9-974574B6AC5B}">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1853</Words>
  <Characters>10566</Characters>
  <Lines>88</Lines>
  <Paragraphs>24</Paragraphs>
  <TotalTime>6</TotalTime>
  <ScaleCrop>false</ScaleCrop>
  <LinksUpToDate>false</LinksUpToDate>
  <CharactersWithSpaces>12395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2023-07-28T09:57:00Z</dcterms:created>
  <dc:creator>admin</dc:creator>
  <cp:lastModifiedBy>Siheng Li</cp:lastModifiedBy>
  <cp:lastPrinted>2022-08-10T07:24:00Z</cp:lastPrinted>
  <dcterms:modified xsi:type="dcterms:W3CDTF">2023-07-28T13:17:52Z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E7895DD4FEB5439386D72D9FD620775E_13</vt:lpwstr>
  </property>
</Properties>
</file>